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829" w:rsidRDefault="00DD25EE" w:rsidP="00DD25EE">
      <w:bookmarkStart w:id="0" w:name="_GoBack"/>
      <w:bookmarkEnd w:id="0"/>
      <w:r>
        <w:rPr>
          <w:noProof/>
          <w:lang w:eastAsia="en-GB"/>
        </w:rPr>
        <w:drawing>
          <wp:inline distT="0" distB="0" distL="0" distR="0" wp14:anchorId="7DF19858" wp14:editId="386E65B3">
            <wp:extent cx="1838325" cy="736600"/>
            <wp:effectExtent l="0" t="0" r="9525" b="6350"/>
            <wp:docPr id="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736600"/>
                    </a:xfrm>
                    <a:prstGeom prst="rect">
                      <a:avLst/>
                    </a:prstGeom>
                  </pic:spPr>
                </pic:pic>
              </a:graphicData>
            </a:graphic>
          </wp:inline>
        </w:drawing>
      </w:r>
      <w:r>
        <w:rPr>
          <w:noProof/>
          <w:lang w:eastAsia="en-GB"/>
        </w:rPr>
        <w:t xml:space="preserve">                                                                                        </w:t>
      </w:r>
      <w:r>
        <w:rPr>
          <w:noProof/>
          <w:lang w:eastAsia="en-GB"/>
        </w:rPr>
        <w:drawing>
          <wp:inline distT="0" distB="0" distL="0" distR="0">
            <wp:extent cx="1085850" cy="783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_logo_purple_rgb_med-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9278" cy="800400"/>
                    </a:xfrm>
                    <a:prstGeom prst="rect">
                      <a:avLst/>
                    </a:prstGeom>
                  </pic:spPr>
                </pic:pic>
              </a:graphicData>
            </a:graphic>
          </wp:inline>
        </w:drawing>
      </w:r>
    </w:p>
    <w:p w:rsidR="00DD25EE" w:rsidRPr="00DD25EE" w:rsidRDefault="00DD25EE" w:rsidP="00DD25EE">
      <w:pPr>
        <w:spacing w:after="0" w:line="240" w:lineRule="auto"/>
        <w:jc w:val="center"/>
        <w:rPr>
          <w:rFonts w:ascii="Arial" w:eastAsia="Calibri" w:hAnsi="Arial" w:cs="Arial"/>
          <w:b/>
          <w:sz w:val="24"/>
          <w:lang w:eastAsia="en-GB"/>
        </w:rPr>
      </w:pPr>
      <w:r w:rsidRPr="00DD25EE">
        <w:rPr>
          <w:rFonts w:ascii="Arial" w:eastAsia="Calibri" w:hAnsi="Arial" w:cs="Arial"/>
          <w:b/>
          <w:sz w:val="24"/>
          <w:lang w:eastAsia="en-GB"/>
        </w:rPr>
        <w:t xml:space="preserve">St Martin’s Frontline Network Conference </w:t>
      </w:r>
      <w:r w:rsidR="00D24141">
        <w:rPr>
          <w:rFonts w:ascii="Arial" w:eastAsia="Calibri" w:hAnsi="Arial" w:cs="Arial"/>
          <w:b/>
          <w:sz w:val="24"/>
          <w:lang w:eastAsia="en-GB"/>
        </w:rPr>
        <w:t>June 7</w:t>
      </w:r>
      <w:r w:rsidR="00D24141" w:rsidRPr="00D24141">
        <w:rPr>
          <w:rFonts w:ascii="Arial" w:eastAsia="Calibri" w:hAnsi="Arial" w:cs="Arial"/>
          <w:b/>
          <w:sz w:val="24"/>
          <w:vertAlign w:val="superscript"/>
          <w:lang w:eastAsia="en-GB"/>
        </w:rPr>
        <w:t>th</w:t>
      </w:r>
      <w:r w:rsidR="00D24141">
        <w:rPr>
          <w:rFonts w:ascii="Arial" w:eastAsia="Calibri" w:hAnsi="Arial" w:cs="Arial"/>
          <w:b/>
          <w:sz w:val="24"/>
          <w:lang w:eastAsia="en-GB"/>
        </w:rPr>
        <w:t xml:space="preserve"> </w:t>
      </w:r>
      <w:r w:rsidRPr="00DD25EE">
        <w:rPr>
          <w:rFonts w:ascii="Arial" w:eastAsia="Calibri" w:hAnsi="Arial" w:cs="Arial"/>
          <w:b/>
          <w:sz w:val="24"/>
          <w:lang w:eastAsia="en-GB"/>
        </w:rPr>
        <w:t>2018</w:t>
      </w:r>
    </w:p>
    <w:p w:rsidR="00DD25EE" w:rsidRPr="00DD25EE" w:rsidRDefault="00DD25EE" w:rsidP="00DD25EE">
      <w:pPr>
        <w:spacing w:after="0" w:line="240" w:lineRule="auto"/>
        <w:jc w:val="center"/>
        <w:rPr>
          <w:rFonts w:ascii="Arial" w:eastAsia="Calibri" w:hAnsi="Arial" w:cs="Arial"/>
          <w:b/>
          <w:sz w:val="24"/>
          <w:lang w:eastAsia="en-GB"/>
        </w:rPr>
      </w:pPr>
    </w:p>
    <w:p w:rsidR="00DD25EE" w:rsidRPr="00DD25EE" w:rsidRDefault="00B54D10" w:rsidP="00DD25EE">
      <w:pPr>
        <w:spacing w:after="0" w:line="240" w:lineRule="auto"/>
        <w:jc w:val="center"/>
        <w:rPr>
          <w:rFonts w:ascii="Arial" w:eastAsia="Calibri" w:hAnsi="Arial" w:cs="Arial"/>
          <w:b/>
          <w:sz w:val="24"/>
          <w:lang w:eastAsia="en-GB"/>
        </w:rPr>
      </w:pPr>
      <w:r>
        <w:rPr>
          <w:rFonts w:ascii="Arial" w:eastAsia="Calibri" w:hAnsi="Arial" w:cs="Arial"/>
          <w:b/>
          <w:sz w:val="24"/>
          <w:lang w:eastAsia="en-GB"/>
        </w:rPr>
        <w:t>Summary f</w:t>
      </w:r>
      <w:r w:rsidR="00DD25EE" w:rsidRPr="00DD25EE">
        <w:rPr>
          <w:rFonts w:ascii="Arial" w:eastAsia="Calibri" w:hAnsi="Arial" w:cs="Arial"/>
          <w:b/>
          <w:sz w:val="24"/>
          <w:lang w:eastAsia="en-GB"/>
        </w:rPr>
        <w:t>actsheet and resource list for attendees of the “</w:t>
      </w:r>
      <w:r w:rsidR="00DD25EE">
        <w:rPr>
          <w:rFonts w:ascii="Arial" w:eastAsia="Calibri" w:hAnsi="Arial" w:cs="Arial"/>
          <w:b/>
          <w:sz w:val="24"/>
          <w:lang w:eastAsia="en-GB"/>
        </w:rPr>
        <w:t xml:space="preserve">Supporting </w:t>
      </w:r>
      <w:r w:rsidR="00DD25EE" w:rsidRPr="00DD25EE">
        <w:rPr>
          <w:rFonts w:ascii="Arial" w:eastAsia="Calibri" w:hAnsi="Arial" w:cs="Arial"/>
          <w:b/>
          <w:sz w:val="24"/>
          <w:lang w:eastAsia="en-GB"/>
        </w:rPr>
        <w:t>non-EEA migrant communities</w:t>
      </w:r>
      <w:r w:rsidR="00DA6D83">
        <w:rPr>
          <w:rFonts w:ascii="Arial" w:eastAsia="Calibri" w:hAnsi="Arial" w:cs="Arial"/>
          <w:b/>
          <w:sz w:val="24"/>
          <w:lang w:eastAsia="en-GB"/>
        </w:rPr>
        <w:t>”</w:t>
      </w:r>
      <w:r w:rsidR="00DD25EE" w:rsidRPr="00DD25EE">
        <w:rPr>
          <w:rFonts w:ascii="Arial" w:eastAsia="Calibri" w:hAnsi="Arial" w:cs="Arial"/>
          <w:b/>
          <w:sz w:val="24"/>
          <w:lang w:eastAsia="en-GB"/>
        </w:rPr>
        <w:t xml:space="preserve"> workshop</w:t>
      </w:r>
    </w:p>
    <w:p w:rsidR="00DD25EE" w:rsidRDefault="00DD25EE" w:rsidP="00DD25EE">
      <w:pPr>
        <w:spacing w:after="0" w:line="240" w:lineRule="auto"/>
        <w:jc w:val="center"/>
        <w:rPr>
          <w:rFonts w:ascii="Arial" w:eastAsia="Calibri" w:hAnsi="Arial" w:cs="Arial"/>
          <w:b/>
          <w:sz w:val="28"/>
          <w:lang w:eastAsia="en-GB"/>
        </w:rPr>
      </w:pPr>
    </w:p>
    <w:p w:rsidR="00DD25EE" w:rsidRDefault="00B54D10" w:rsidP="00F53117">
      <w:pPr>
        <w:spacing w:after="120" w:line="240" w:lineRule="auto"/>
        <w:rPr>
          <w:rFonts w:ascii="Arial" w:eastAsia="Calibri" w:hAnsi="Arial" w:cs="Arial"/>
          <w:sz w:val="20"/>
          <w:u w:val="single"/>
          <w:lang w:eastAsia="en-GB"/>
        </w:rPr>
      </w:pPr>
      <w:r>
        <w:rPr>
          <w:rFonts w:ascii="Arial" w:eastAsia="Calibri" w:hAnsi="Arial" w:cs="Arial"/>
          <w:sz w:val="20"/>
          <w:u w:val="single"/>
          <w:lang w:eastAsia="en-GB"/>
        </w:rPr>
        <w:t>Scale of n</w:t>
      </w:r>
      <w:r w:rsidR="00DD25EE" w:rsidRPr="00DD25EE">
        <w:rPr>
          <w:rFonts w:ascii="Arial" w:eastAsia="Calibri" w:hAnsi="Arial" w:cs="Arial"/>
          <w:sz w:val="20"/>
          <w:u w:val="single"/>
          <w:lang w:eastAsia="en-GB"/>
        </w:rPr>
        <w:t>on-EEA Migrant Destitution</w:t>
      </w:r>
      <w:r w:rsidR="0007334C">
        <w:rPr>
          <w:rFonts w:ascii="Arial" w:eastAsia="Calibri" w:hAnsi="Arial" w:cs="Arial"/>
          <w:sz w:val="20"/>
          <w:u w:val="single"/>
          <w:lang w:eastAsia="en-GB"/>
        </w:rPr>
        <w:t>:</w:t>
      </w:r>
    </w:p>
    <w:p w:rsidR="00DD25EE" w:rsidRDefault="00DD25EE" w:rsidP="00DD25EE">
      <w:pPr>
        <w:spacing w:after="0" w:line="240" w:lineRule="auto"/>
        <w:rPr>
          <w:rFonts w:ascii="Arial" w:eastAsia="Calibri" w:hAnsi="Arial" w:cs="Arial"/>
          <w:sz w:val="20"/>
          <w:lang w:eastAsia="en-GB"/>
        </w:rPr>
      </w:pPr>
      <w:r w:rsidRPr="00DD25EE">
        <w:rPr>
          <w:rFonts w:ascii="Arial" w:eastAsia="Calibri" w:hAnsi="Arial" w:cs="Arial"/>
          <w:sz w:val="20"/>
          <w:lang w:eastAsia="en-GB"/>
        </w:rPr>
        <w:t xml:space="preserve">Destitution amongst non-EEA migrants has been a prominent feature of the asylum system in the UK for </w:t>
      </w:r>
      <w:r w:rsidR="00D24141">
        <w:rPr>
          <w:rFonts w:ascii="Arial" w:eastAsia="Calibri" w:hAnsi="Arial" w:cs="Arial"/>
          <w:sz w:val="20"/>
          <w:lang w:eastAsia="en-GB"/>
        </w:rPr>
        <w:t>many</w:t>
      </w:r>
      <w:r w:rsidRPr="00DD25EE">
        <w:rPr>
          <w:rFonts w:ascii="Arial" w:eastAsia="Calibri" w:hAnsi="Arial" w:cs="Arial"/>
          <w:sz w:val="20"/>
          <w:lang w:eastAsia="en-GB"/>
        </w:rPr>
        <w:t xml:space="preserve"> years. Policy changes from 2002 onwards have resulted in destitution for thousands of non-EEA migrants. Most of these people had made a claim for asylum and typically became destitute because of their claim being rejected - with the consequent cessation of any government support. The </w:t>
      </w:r>
      <w:r>
        <w:rPr>
          <w:rFonts w:ascii="Arial" w:eastAsia="Calibri" w:hAnsi="Arial" w:cs="Arial"/>
          <w:sz w:val="20"/>
          <w:lang w:eastAsia="en-GB"/>
        </w:rPr>
        <w:t>homelessness</w:t>
      </w:r>
      <w:r w:rsidRPr="00DD25EE">
        <w:rPr>
          <w:rFonts w:ascii="Arial" w:eastAsia="Calibri" w:hAnsi="Arial" w:cs="Arial"/>
          <w:sz w:val="20"/>
          <w:lang w:eastAsia="en-GB"/>
        </w:rPr>
        <w:t xml:space="preserve"> sector has witnessed the impact on the lives of these people and </w:t>
      </w:r>
      <w:r>
        <w:rPr>
          <w:rFonts w:ascii="Arial" w:eastAsia="Calibri" w:hAnsi="Arial" w:cs="Arial"/>
          <w:sz w:val="20"/>
          <w:lang w:eastAsia="en-GB"/>
        </w:rPr>
        <w:t xml:space="preserve">has sought to address the needs. </w:t>
      </w:r>
      <w:r w:rsidR="00D24141">
        <w:rPr>
          <w:rFonts w:ascii="Arial" w:eastAsia="Calibri" w:hAnsi="Arial" w:cs="Arial"/>
          <w:sz w:val="20"/>
          <w:lang w:eastAsia="en-GB"/>
        </w:rPr>
        <w:t xml:space="preserve">This remains a constant challenge however, which is felt more acutely in larger metropolitan areas, and areas with a higher density of refugee housing. </w:t>
      </w:r>
    </w:p>
    <w:p w:rsidR="00DD25EE" w:rsidRDefault="00DD25EE" w:rsidP="00DD25EE">
      <w:pPr>
        <w:spacing w:after="0" w:line="240" w:lineRule="auto"/>
        <w:rPr>
          <w:rFonts w:ascii="Arial" w:eastAsia="Calibri" w:hAnsi="Arial" w:cs="Arial"/>
          <w:sz w:val="20"/>
          <w:lang w:eastAsia="en-GB"/>
        </w:rPr>
      </w:pPr>
    </w:p>
    <w:p w:rsidR="00DD25EE" w:rsidRDefault="00DD25EE" w:rsidP="00DD25EE">
      <w:pPr>
        <w:spacing w:after="0" w:line="240" w:lineRule="auto"/>
        <w:rPr>
          <w:rFonts w:ascii="Arial" w:eastAsia="Calibri" w:hAnsi="Arial" w:cs="Arial"/>
          <w:sz w:val="20"/>
          <w:lang w:eastAsia="en-GB"/>
        </w:rPr>
      </w:pPr>
      <w:r>
        <w:rPr>
          <w:rFonts w:ascii="Arial" w:eastAsia="Calibri" w:hAnsi="Arial" w:cs="Arial"/>
          <w:sz w:val="20"/>
          <w:lang w:eastAsia="en-GB"/>
        </w:rPr>
        <w:t xml:space="preserve">EEA and non-EEA migrants </w:t>
      </w:r>
      <w:r w:rsidRPr="00DD25EE">
        <w:rPr>
          <w:rFonts w:ascii="Arial" w:eastAsia="Calibri" w:hAnsi="Arial" w:cs="Arial"/>
          <w:sz w:val="20"/>
          <w:lang w:eastAsia="en-GB"/>
        </w:rPr>
        <w:t>m</w:t>
      </w:r>
      <w:r>
        <w:rPr>
          <w:rFonts w:ascii="Arial" w:eastAsia="Calibri" w:hAnsi="Arial" w:cs="Arial"/>
          <w:sz w:val="20"/>
          <w:lang w:eastAsia="en-GB"/>
        </w:rPr>
        <w:t>ake</w:t>
      </w:r>
      <w:r w:rsidRPr="00DD25EE">
        <w:rPr>
          <w:rFonts w:ascii="Arial" w:eastAsia="Calibri" w:hAnsi="Arial" w:cs="Arial"/>
          <w:sz w:val="20"/>
          <w:lang w:eastAsia="en-GB"/>
        </w:rPr>
        <w:t xml:space="preserve"> up a significant proportion of the rough sleeping and wider homeless population across Britain, but that there are significant gaps in data that are collected or published.</w:t>
      </w:r>
      <w:r>
        <w:rPr>
          <w:rFonts w:ascii="Arial" w:eastAsia="Calibri" w:hAnsi="Arial" w:cs="Arial"/>
          <w:sz w:val="20"/>
          <w:lang w:eastAsia="en-GB"/>
        </w:rPr>
        <w:t xml:space="preserve"> For non-EEA migrants</w:t>
      </w:r>
      <w:r w:rsidR="00D24141">
        <w:rPr>
          <w:rFonts w:ascii="Arial" w:eastAsia="Calibri" w:hAnsi="Arial" w:cs="Arial"/>
          <w:sz w:val="20"/>
          <w:lang w:eastAsia="en-GB"/>
        </w:rPr>
        <w:t xml:space="preserve"> particularly</w:t>
      </w:r>
      <w:r>
        <w:rPr>
          <w:rFonts w:ascii="Arial" w:eastAsia="Calibri" w:hAnsi="Arial" w:cs="Arial"/>
          <w:sz w:val="20"/>
          <w:lang w:eastAsia="en-GB"/>
        </w:rPr>
        <w:t xml:space="preserve">, and for those outside the system who are classed as NRPF, there is a huge gap in reliable information regarding the scale of rough sleeping. The following information is available though: </w:t>
      </w:r>
    </w:p>
    <w:p w:rsidR="00D24141" w:rsidRDefault="00D24141" w:rsidP="00DD25EE">
      <w:pPr>
        <w:spacing w:after="0" w:line="240" w:lineRule="auto"/>
        <w:rPr>
          <w:rFonts w:ascii="Arial" w:eastAsia="Calibri" w:hAnsi="Arial" w:cs="Arial"/>
          <w:sz w:val="20"/>
          <w:lang w:eastAsia="en-GB"/>
        </w:rPr>
      </w:pPr>
    </w:p>
    <w:p w:rsidR="00DD25EE" w:rsidRDefault="00DD25EE" w:rsidP="00DD25EE">
      <w:pPr>
        <w:pStyle w:val="ListParagraph"/>
        <w:numPr>
          <w:ilvl w:val="0"/>
          <w:numId w:val="1"/>
        </w:numPr>
        <w:spacing w:after="0" w:line="240" w:lineRule="auto"/>
        <w:rPr>
          <w:rFonts w:ascii="Arial" w:eastAsia="Calibri" w:hAnsi="Arial" w:cs="Arial"/>
          <w:sz w:val="20"/>
          <w:lang w:eastAsia="en-GB"/>
        </w:rPr>
      </w:pPr>
      <w:r w:rsidRPr="00DD25EE">
        <w:rPr>
          <w:rFonts w:ascii="Arial" w:eastAsia="Calibri" w:hAnsi="Arial" w:cs="Arial"/>
          <w:sz w:val="20"/>
          <w:lang w:eastAsia="en-GB"/>
        </w:rPr>
        <w:t>In 2016, the number of applications for asylum to the UK was 30,747.  This represents a slight decrease on the previous year, while there has been significant increase in recent years (in 2012 there were 21,843 applications). It is not possible to report the numbers of asylum seekers and refugees who have experienced homelessness, though there is some relevant data relating to rough sleepers in London.</w:t>
      </w:r>
    </w:p>
    <w:p w:rsidR="00DD25EE" w:rsidRDefault="00DD25EE" w:rsidP="00DD25EE">
      <w:pPr>
        <w:pStyle w:val="ListParagraph"/>
        <w:numPr>
          <w:ilvl w:val="0"/>
          <w:numId w:val="1"/>
        </w:numPr>
        <w:spacing w:after="0" w:line="240" w:lineRule="auto"/>
        <w:rPr>
          <w:rFonts w:ascii="Arial" w:eastAsia="Calibri" w:hAnsi="Arial" w:cs="Arial"/>
          <w:sz w:val="20"/>
          <w:lang w:eastAsia="en-GB"/>
        </w:rPr>
      </w:pPr>
      <w:r w:rsidRPr="00DD25EE">
        <w:rPr>
          <w:rFonts w:ascii="Arial" w:eastAsia="Calibri" w:hAnsi="Arial" w:cs="Arial"/>
          <w:sz w:val="20"/>
          <w:lang w:eastAsia="en-GB"/>
        </w:rPr>
        <w:t>Since 2014</w:t>
      </w:r>
      <w:r w:rsidR="0007334C">
        <w:rPr>
          <w:rFonts w:ascii="Arial" w:eastAsia="Calibri" w:hAnsi="Arial" w:cs="Arial"/>
          <w:sz w:val="20"/>
          <w:lang w:eastAsia="en-GB"/>
        </w:rPr>
        <w:t xml:space="preserve"> </w:t>
      </w:r>
      <w:r w:rsidRPr="00DD25EE">
        <w:rPr>
          <w:rFonts w:ascii="Arial" w:eastAsia="Calibri" w:hAnsi="Arial" w:cs="Arial"/>
          <w:sz w:val="20"/>
          <w:lang w:eastAsia="en-GB"/>
        </w:rPr>
        <w:t>there has been an increase in the number of rough sleepers in London whose last settled base was National Asyl</w:t>
      </w:r>
      <w:r>
        <w:rPr>
          <w:rFonts w:ascii="Arial" w:eastAsia="Calibri" w:hAnsi="Arial" w:cs="Arial"/>
          <w:sz w:val="20"/>
          <w:lang w:eastAsia="en-GB"/>
        </w:rPr>
        <w:t xml:space="preserve">um Support Accommodation (NASS). </w:t>
      </w:r>
      <w:r w:rsidRPr="00DD25EE">
        <w:rPr>
          <w:rFonts w:ascii="Arial" w:eastAsia="Calibri" w:hAnsi="Arial" w:cs="Arial"/>
          <w:sz w:val="20"/>
          <w:lang w:eastAsia="en-GB"/>
        </w:rPr>
        <w:t>This could include both newly recognised refugees and refused asylum seekers.</w:t>
      </w:r>
      <w:r>
        <w:rPr>
          <w:rFonts w:ascii="Arial" w:eastAsia="Calibri" w:hAnsi="Arial" w:cs="Arial"/>
          <w:sz w:val="20"/>
          <w:lang w:eastAsia="en-GB"/>
        </w:rPr>
        <w:t xml:space="preserve"> According to CHAIN, in 2016/2017 3% of all rough sleepers recorded had their last accommodation </w:t>
      </w:r>
      <w:r w:rsidR="00B54D10">
        <w:rPr>
          <w:rFonts w:ascii="Arial" w:eastAsia="Calibri" w:hAnsi="Arial" w:cs="Arial"/>
          <w:sz w:val="20"/>
          <w:lang w:eastAsia="en-GB"/>
        </w:rPr>
        <w:t>base listed as NASS.</w:t>
      </w:r>
      <w:r w:rsidR="00B54D10">
        <w:rPr>
          <w:rStyle w:val="FootnoteReference"/>
          <w:rFonts w:ascii="Arial" w:eastAsia="Calibri" w:hAnsi="Arial" w:cs="Arial"/>
          <w:sz w:val="20"/>
          <w:lang w:eastAsia="en-GB"/>
        </w:rPr>
        <w:footnoteReference w:id="1"/>
      </w:r>
    </w:p>
    <w:p w:rsidR="00B54D10" w:rsidRDefault="00B54D10" w:rsidP="00B54D10">
      <w:pPr>
        <w:pStyle w:val="ListParagraph"/>
        <w:numPr>
          <w:ilvl w:val="0"/>
          <w:numId w:val="1"/>
        </w:numPr>
        <w:spacing w:after="0" w:line="240" w:lineRule="auto"/>
        <w:rPr>
          <w:rFonts w:ascii="Arial" w:eastAsia="Calibri" w:hAnsi="Arial" w:cs="Arial"/>
          <w:sz w:val="20"/>
          <w:lang w:eastAsia="en-GB"/>
        </w:rPr>
      </w:pPr>
      <w:r w:rsidRPr="00B54D10">
        <w:rPr>
          <w:rFonts w:ascii="Arial" w:eastAsia="Calibri" w:hAnsi="Arial" w:cs="Arial"/>
          <w:sz w:val="20"/>
          <w:lang w:eastAsia="en-GB"/>
        </w:rPr>
        <w:t>Undocumented migrants</w:t>
      </w:r>
      <w:r>
        <w:rPr>
          <w:rFonts w:ascii="Arial" w:eastAsia="Calibri" w:hAnsi="Arial" w:cs="Arial"/>
          <w:sz w:val="20"/>
          <w:lang w:eastAsia="en-GB"/>
        </w:rPr>
        <w:t xml:space="preserve"> with NRPF</w:t>
      </w:r>
      <w:r w:rsidRPr="00B54D10">
        <w:rPr>
          <w:rFonts w:ascii="Arial" w:eastAsia="Calibri" w:hAnsi="Arial" w:cs="Arial"/>
          <w:sz w:val="20"/>
          <w:lang w:eastAsia="en-GB"/>
        </w:rPr>
        <w:t xml:space="preserve"> are at high risk of destitution, but there are no publicly available data on how many refused asylum seekers are without national documents, or realistic means of obtaining any.</w:t>
      </w:r>
    </w:p>
    <w:p w:rsidR="00B54D10" w:rsidRDefault="00B54D10" w:rsidP="00B54D10">
      <w:pPr>
        <w:spacing w:after="0" w:line="240" w:lineRule="auto"/>
        <w:rPr>
          <w:rFonts w:ascii="Arial" w:eastAsia="Calibri" w:hAnsi="Arial" w:cs="Arial"/>
          <w:sz w:val="20"/>
          <w:lang w:eastAsia="en-GB"/>
        </w:rPr>
      </w:pPr>
    </w:p>
    <w:p w:rsidR="00B54D10" w:rsidRDefault="00B54D10" w:rsidP="00F53117">
      <w:pPr>
        <w:spacing w:after="120" w:line="240" w:lineRule="auto"/>
        <w:rPr>
          <w:rFonts w:ascii="Arial" w:eastAsia="Calibri" w:hAnsi="Arial" w:cs="Arial"/>
          <w:sz w:val="20"/>
          <w:u w:val="single"/>
          <w:lang w:eastAsia="en-GB"/>
        </w:rPr>
      </w:pPr>
      <w:r w:rsidRPr="00B54D10">
        <w:rPr>
          <w:rFonts w:ascii="Arial" w:eastAsia="Calibri" w:hAnsi="Arial" w:cs="Arial"/>
          <w:sz w:val="20"/>
          <w:u w:val="single"/>
          <w:lang w:eastAsia="en-GB"/>
        </w:rPr>
        <w:t xml:space="preserve">Key challenges: </w:t>
      </w:r>
    </w:p>
    <w:p w:rsidR="00B54D10" w:rsidRDefault="00B54D10" w:rsidP="00B54D10">
      <w:pPr>
        <w:spacing w:after="0" w:line="240" w:lineRule="auto"/>
        <w:rPr>
          <w:rFonts w:ascii="Arial" w:eastAsia="Calibri" w:hAnsi="Arial" w:cs="Arial"/>
          <w:sz w:val="20"/>
          <w:lang w:eastAsia="en-GB"/>
        </w:rPr>
      </w:pPr>
      <w:r>
        <w:rPr>
          <w:rFonts w:ascii="Arial" w:eastAsia="Calibri" w:hAnsi="Arial" w:cs="Arial"/>
          <w:sz w:val="20"/>
          <w:lang w:eastAsia="en-GB"/>
        </w:rPr>
        <w:t xml:space="preserve">Frontline staff are faced with a huge challenges when working with non-EEA destitute migrants: </w:t>
      </w:r>
    </w:p>
    <w:p w:rsidR="00F159FA" w:rsidRDefault="00F159FA" w:rsidP="00B54D10">
      <w:pPr>
        <w:pStyle w:val="ListParagraph"/>
        <w:numPr>
          <w:ilvl w:val="0"/>
          <w:numId w:val="2"/>
        </w:numPr>
        <w:spacing w:after="0" w:line="240" w:lineRule="auto"/>
        <w:rPr>
          <w:rFonts w:ascii="Arial" w:eastAsia="Calibri" w:hAnsi="Arial" w:cs="Arial"/>
          <w:sz w:val="20"/>
          <w:lang w:eastAsia="en-GB"/>
        </w:rPr>
      </w:pPr>
      <w:r>
        <w:rPr>
          <w:rFonts w:ascii="Arial" w:eastAsia="Calibri" w:hAnsi="Arial" w:cs="Arial"/>
          <w:sz w:val="20"/>
          <w:lang w:eastAsia="en-GB"/>
        </w:rPr>
        <w:t>Many frontline homelessness services are ill equipped to provide the necessary support for destitute non-EEA nationals – such as OISC immigration advice, translation services, culturally</w:t>
      </w:r>
      <w:r w:rsidR="00F53117">
        <w:rPr>
          <w:rFonts w:ascii="Arial" w:eastAsia="Calibri" w:hAnsi="Arial" w:cs="Arial"/>
          <w:sz w:val="20"/>
          <w:lang w:eastAsia="en-GB"/>
        </w:rPr>
        <w:t xml:space="preserve"> sensitive spaces and </w:t>
      </w:r>
      <w:r>
        <w:rPr>
          <w:rFonts w:ascii="Arial" w:eastAsia="Calibri" w:hAnsi="Arial" w:cs="Arial"/>
          <w:sz w:val="20"/>
          <w:lang w:eastAsia="en-GB"/>
        </w:rPr>
        <w:t xml:space="preserve">accommodation for people </w:t>
      </w:r>
      <w:r w:rsidR="00F53117">
        <w:rPr>
          <w:rFonts w:ascii="Arial" w:eastAsia="Calibri" w:hAnsi="Arial" w:cs="Arial"/>
          <w:sz w:val="20"/>
          <w:lang w:eastAsia="en-GB"/>
        </w:rPr>
        <w:t>without</w:t>
      </w:r>
      <w:r>
        <w:rPr>
          <w:rFonts w:ascii="Arial" w:eastAsia="Calibri" w:hAnsi="Arial" w:cs="Arial"/>
          <w:sz w:val="20"/>
          <w:lang w:eastAsia="en-GB"/>
        </w:rPr>
        <w:t xml:space="preserve"> access to housing benefit etc. </w:t>
      </w:r>
    </w:p>
    <w:p w:rsidR="00B54D10" w:rsidRDefault="00B54D10" w:rsidP="00B54D10">
      <w:pPr>
        <w:pStyle w:val="ListParagraph"/>
        <w:numPr>
          <w:ilvl w:val="0"/>
          <w:numId w:val="2"/>
        </w:numPr>
        <w:spacing w:after="0" w:line="240" w:lineRule="auto"/>
        <w:rPr>
          <w:rFonts w:ascii="Arial" w:eastAsia="Calibri" w:hAnsi="Arial" w:cs="Arial"/>
          <w:sz w:val="20"/>
          <w:lang w:eastAsia="en-GB"/>
        </w:rPr>
      </w:pPr>
      <w:r w:rsidRPr="00B54D10">
        <w:rPr>
          <w:rFonts w:ascii="Arial" w:eastAsia="Calibri" w:hAnsi="Arial" w:cs="Arial"/>
          <w:sz w:val="20"/>
          <w:lang w:eastAsia="en-GB"/>
        </w:rPr>
        <w:t>In</w:t>
      </w:r>
      <w:r>
        <w:rPr>
          <w:rFonts w:ascii="Arial" w:eastAsia="Calibri" w:hAnsi="Arial" w:cs="Arial"/>
          <w:sz w:val="20"/>
          <w:lang w:eastAsia="en-GB"/>
        </w:rPr>
        <w:t>adequate legal advice following cuts to legal aid leads to</w:t>
      </w:r>
      <w:r w:rsidRPr="00B54D10">
        <w:rPr>
          <w:rFonts w:ascii="Arial" w:eastAsia="Calibri" w:hAnsi="Arial" w:cs="Arial"/>
          <w:sz w:val="20"/>
          <w:lang w:eastAsia="en-GB"/>
        </w:rPr>
        <w:t xml:space="preserve"> </w:t>
      </w:r>
      <w:r>
        <w:rPr>
          <w:rFonts w:ascii="Arial" w:eastAsia="Calibri" w:hAnsi="Arial" w:cs="Arial"/>
          <w:sz w:val="20"/>
          <w:lang w:eastAsia="en-GB"/>
        </w:rPr>
        <w:t>asylum cases</w:t>
      </w:r>
      <w:r w:rsidRPr="00B54D10">
        <w:rPr>
          <w:rFonts w:ascii="Arial" w:eastAsia="Calibri" w:hAnsi="Arial" w:cs="Arial"/>
          <w:sz w:val="20"/>
          <w:lang w:eastAsia="en-GB"/>
        </w:rPr>
        <w:t xml:space="preserve"> not being properly represented or</w:t>
      </w:r>
      <w:r>
        <w:rPr>
          <w:rFonts w:ascii="Arial" w:eastAsia="Calibri" w:hAnsi="Arial" w:cs="Arial"/>
          <w:sz w:val="20"/>
          <w:lang w:eastAsia="en-GB"/>
        </w:rPr>
        <w:t xml:space="preserve"> </w:t>
      </w:r>
      <w:r w:rsidRPr="00B54D10">
        <w:rPr>
          <w:rFonts w:ascii="Arial" w:eastAsia="Calibri" w:hAnsi="Arial" w:cs="Arial"/>
          <w:sz w:val="20"/>
          <w:lang w:eastAsia="en-GB"/>
        </w:rPr>
        <w:t>a</w:t>
      </w:r>
      <w:r>
        <w:rPr>
          <w:rFonts w:ascii="Arial" w:eastAsia="Calibri" w:hAnsi="Arial" w:cs="Arial"/>
          <w:sz w:val="20"/>
          <w:lang w:eastAsia="en-GB"/>
        </w:rPr>
        <w:t>dvised upon, which can lead to</w:t>
      </w:r>
      <w:r w:rsidRPr="00B54D10">
        <w:rPr>
          <w:rFonts w:ascii="Arial" w:eastAsia="Calibri" w:hAnsi="Arial" w:cs="Arial"/>
          <w:sz w:val="20"/>
          <w:lang w:eastAsia="en-GB"/>
        </w:rPr>
        <w:t xml:space="preserve"> negative decision</w:t>
      </w:r>
      <w:r>
        <w:rPr>
          <w:rFonts w:ascii="Arial" w:eastAsia="Calibri" w:hAnsi="Arial" w:cs="Arial"/>
          <w:sz w:val="20"/>
          <w:lang w:eastAsia="en-GB"/>
        </w:rPr>
        <w:t>s</w:t>
      </w:r>
      <w:r w:rsidRPr="00B54D10">
        <w:rPr>
          <w:rFonts w:ascii="Arial" w:eastAsia="Calibri" w:hAnsi="Arial" w:cs="Arial"/>
          <w:sz w:val="20"/>
          <w:lang w:eastAsia="en-GB"/>
        </w:rPr>
        <w:t xml:space="preserve"> thus leading them to lose entitlements to rights, yet still unable to return home.</w:t>
      </w:r>
    </w:p>
    <w:p w:rsidR="00B54D10" w:rsidRDefault="00B54D10" w:rsidP="00B54D10">
      <w:pPr>
        <w:pStyle w:val="ListParagraph"/>
        <w:numPr>
          <w:ilvl w:val="0"/>
          <w:numId w:val="2"/>
        </w:numPr>
        <w:spacing w:after="0" w:line="240" w:lineRule="auto"/>
        <w:rPr>
          <w:rFonts w:ascii="Arial" w:eastAsia="Calibri" w:hAnsi="Arial" w:cs="Arial"/>
          <w:sz w:val="20"/>
          <w:lang w:eastAsia="en-GB"/>
        </w:rPr>
      </w:pPr>
      <w:r w:rsidRPr="00B54D10">
        <w:rPr>
          <w:rFonts w:ascii="Arial" w:eastAsia="Calibri" w:hAnsi="Arial" w:cs="Arial"/>
          <w:sz w:val="20"/>
          <w:lang w:eastAsia="en-GB"/>
        </w:rPr>
        <w:t>Administrative delays in the Home Office system prevent destitute refused asylum seekers</w:t>
      </w:r>
      <w:r>
        <w:rPr>
          <w:rFonts w:ascii="Arial" w:eastAsia="Calibri" w:hAnsi="Arial" w:cs="Arial"/>
          <w:sz w:val="20"/>
          <w:lang w:eastAsia="en-GB"/>
        </w:rPr>
        <w:t xml:space="preserve"> </w:t>
      </w:r>
      <w:r w:rsidRPr="00B54D10">
        <w:rPr>
          <w:rFonts w:ascii="Arial" w:eastAsia="Calibri" w:hAnsi="Arial" w:cs="Arial"/>
          <w:sz w:val="20"/>
          <w:lang w:eastAsia="en-GB"/>
        </w:rPr>
        <w:t>from accessing the support they are entitled to often for weeks or months at a time i.e. Section 98, Section 95 and Section 4.</w:t>
      </w:r>
    </w:p>
    <w:p w:rsidR="00B54D10" w:rsidRDefault="00B54D10" w:rsidP="00B54D10">
      <w:pPr>
        <w:pStyle w:val="ListParagraph"/>
        <w:numPr>
          <w:ilvl w:val="0"/>
          <w:numId w:val="2"/>
        </w:numPr>
        <w:spacing w:after="0" w:line="240" w:lineRule="auto"/>
        <w:rPr>
          <w:rFonts w:ascii="Arial" w:eastAsia="Calibri" w:hAnsi="Arial" w:cs="Arial"/>
          <w:sz w:val="20"/>
          <w:lang w:eastAsia="en-GB"/>
        </w:rPr>
      </w:pPr>
      <w:r w:rsidRPr="00B54D10">
        <w:rPr>
          <w:rFonts w:ascii="Arial" w:eastAsia="Calibri" w:hAnsi="Arial" w:cs="Arial"/>
          <w:sz w:val="20"/>
          <w:lang w:eastAsia="en-GB"/>
        </w:rPr>
        <w:t xml:space="preserve">Once granted status it is common for </w:t>
      </w:r>
      <w:r>
        <w:rPr>
          <w:rFonts w:ascii="Arial" w:eastAsia="Calibri" w:hAnsi="Arial" w:cs="Arial"/>
          <w:sz w:val="20"/>
          <w:lang w:eastAsia="en-GB"/>
        </w:rPr>
        <w:t>non-EEA nationals</w:t>
      </w:r>
      <w:r w:rsidRPr="00B54D10">
        <w:rPr>
          <w:rFonts w:ascii="Arial" w:eastAsia="Calibri" w:hAnsi="Arial" w:cs="Arial"/>
          <w:sz w:val="20"/>
          <w:lang w:eastAsia="en-GB"/>
        </w:rPr>
        <w:t xml:space="preserve"> to find themselves homeless as they have 28 days</w:t>
      </w:r>
      <w:r>
        <w:rPr>
          <w:rFonts w:ascii="Arial" w:eastAsia="Calibri" w:hAnsi="Arial" w:cs="Arial"/>
          <w:sz w:val="20"/>
          <w:lang w:eastAsia="en-GB"/>
        </w:rPr>
        <w:t xml:space="preserve"> </w:t>
      </w:r>
      <w:r w:rsidRPr="00B54D10">
        <w:rPr>
          <w:rFonts w:ascii="Arial" w:eastAsia="Calibri" w:hAnsi="Arial" w:cs="Arial"/>
          <w:sz w:val="20"/>
          <w:lang w:eastAsia="en-GB"/>
        </w:rPr>
        <w:t xml:space="preserve">to leave the </w:t>
      </w:r>
      <w:r w:rsidR="00F53117">
        <w:rPr>
          <w:rFonts w:ascii="Arial" w:eastAsia="Calibri" w:hAnsi="Arial" w:cs="Arial"/>
          <w:sz w:val="20"/>
          <w:lang w:eastAsia="en-GB"/>
        </w:rPr>
        <w:t xml:space="preserve">Home Office accommodation. This is not enough time to sign up for statutory benefits and source relevant accommodation. </w:t>
      </w:r>
    </w:p>
    <w:p w:rsidR="00B54D10" w:rsidRDefault="00B54D10" w:rsidP="00F159FA">
      <w:pPr>
        <w:pStyle w:val="ListParagraph"/>
        <w:numPr>
          <w:ilvl w:val="0"/>
          <w:numId w:val="2"/>
        </w:numPr>
        <w:spacing w:after="0" w:line="240" w:lineRule="auto"/>
        <w:rPr>
          <w:rFonts w:ascii="Arial" w:eastAsia="Calibri" w:hAnsi="Arial" w:cs="Arial"/>
          <w:sz w:val="20"/>
          <w:lang w:eastAsia="en-GB"/>
        </w:rPr>
      </w:pPr>
      <w:r>
        <w:rPr>
          <w:rFonts w:ascii="Arial" w:eastAsia="Calibri" w:hAnsi="Arial" w:cs="Arial"/>
          <w:sz w:val="20"/>
          <w:lang w:eastAsia="en-GB"/>
        </w:rPr>
        <w:lastRenderedPageBreak/>
        <w:t>For</w:t>
      </w:r>
      <w:r w:rsidR="00F53117">
        <w:rPr>
          <w:rFonts w:ascii="Arial" w:eastAsia="Calibri" w:hAnsi="Arial" w:cs="Arial"/>
          <w:sz w:val="20"/>
          <w:lang w:eastAsia="en-GB"/>
        </w:rPr>
        <w:t xml:space="preserve"> non-EEA victims of trafficking who are leaving their</w:t>
      </w:r>
      <w:r w:rsidR="00F159FA" w:rsidRPr="00F159FA">
        <w:rPr>
          <w:rFonts w:ascii="Arial" w:eastAsia="Calibri" w:hAnsi="Arial" w:cs="Arial"/>
          <w:sz w:val="20"/>
          <w:lang w:eastAsia="en-GB"/>
        </w:rPr>
        <w:t xml:space="preserve"> allocated 45 days in a safe house,</w:t>
      </w:r>
      <w:r w:rsidR="00F159FA">
        <w:rPr>
          <w:rFonts w:ascii="Arial" w:eastAsia="Calibri" w:hAnsi="Arial" w:cs="Arial"/>
          <w:sz w:val="20"/>
          <w:lang w:eastAsia="en-GB"/>
        </w:rPr>
        <w:t xml:space="preserve"> </w:t>
      </w:r>
      <w:r w:rsidR="00F53117">
        <w:rPr>
          <w:rFonts w:ascii="Arial" w:eastAsia="Calibri" w:hAnsi="Arial" w:cs="Arial"/>
          <w:sz w:val="20"/>
          <w:lang w:eastAsia="en-GB"/>
        </w:rPr>
        <w:t>they</w:t>
      </w:r>
      <w:r w:rsidR="00F159FA" w:rsidRPr="00F159FA">
        <w:rPr>
          <w:rFonts w:ascii="Arial" w:eastAsia="Calibri" w:hAnsi="Arial" w:cs="Arial"/>
          <w:sz w:val="20"/>
          <w:lang w:eastAsia="en-GB"/>
        </w:rPr>
        <w:t xml:space="preserve"> are released without leave to remain and with NRPF</w:t>
      </w:r>
      <w:r w:rsidR="00F159FA">
        <w:rPr>
          <w:rFonts w:ascii="Arial" w:eastAsia="Calibri" w:hAnsi="Arial" w:cs="Arial"/>
          <w:sz w:val="20"/>
          <w:lang w:eastAsia="en-GB"/>
        </w:rPr>
        <w:t xml:space="preserve">. </w:t>
      </w:r>
    </w:p>
    <w:p w:rsidR="00F159FA" w:rsidRPr="00F159FA" w:rsidRDefault="00F159FA" w:rsidP="00F159FA">
      <w:pPr>
        <w:pStyle w:val="ListParagraph"/>
        <w:numPr>
          <w:ilvl w:val="0"/>
          <w:numId w:val="2"/>
        </w:numPr>
        <w:spacing w:after="0" w:line="240" w:lineRule="auto"/>
        <w:rPr>
          <w:rFonts w:ascii="Arial" w:eastAsia="Calibri" w:hAnsi="Arial" w:cs="Arial"/>
          <w:sz w:val="20"/>
          <w:lang w:eastAsia="en-GB"/>
        </w:rPr>
      </w:pPr>
      <w:r w:rsidRPr="00F159FA">
        <w:rPr>
          <w:rFonts w:ascii="Arial" w:eastAsia="Calibri" w:hAnsi="Arial" w:cs="Arial"/>
          <w:sz w:val="20"/>
          <w:lang w:eastAsia="en-GB"/>
        </w:rPr>
        <w:t xml:space="preserve">The process of renewing visas </w:t>
      </w:r>
      <w:r>
        <w:rPr>
          <w:rFonts w:ascii="Arial" w:eastAsia="Calibri" w:hAnsi="Arial" w:cs="Arial"/>
          <w:sz w:val="20"/>
          <w:lang w:eastAsia="en-GB"/>
        </w:rPr>
        <w:t xml:space="preserve">for non-EEA nationals </w:t>
      </w:r>
      <w:r w:rsidRPr="00F159FA">
        <w:rPr>
          <w:rFonts w:ascii="Arial" w:eastAsia="Calibri" w:hAnsi="Arial" w:cs="Arial"/>
          <w:sz w:val="20"/>
          <w:lang w:eastAsia="en-GB"/>
        </w:rPr>
        <w:t>and applying for settlement can be costly and complex, and when</w:t>
      </w:r>
      <w:r>
        <w:rPr>
          <w:rFonts w:ascii="Arial" w:eastAsia="Calibri" w:hAnsi="Arial" w:cs="Arial"/>
          <w:sz w:val="20"/>
          <w:lang w:eastAsia="en-GB"/>
        </w:rPr>
        <w:t xml:space="preserve"> </w:t>
      </w:r>
      <w:r w:rsidRPr="00F159FA">
        <w:rPr>
          <w:rFonts w:ascii="Arial" w:eastAsia="Calibri" w:hAnsi="Arial" w:cs="Arial"/>
          <w:sz w:val="20"/>
          <w:lang w:eastAsia="en-GB"/>
        </w:rPr>
        <w:t>it goes wrong, people can quickly become destitute.</w:t>
      </w:r>
    </w:p>
    <w:p w:rsidR="00B54D10" w:rsidRPr="00B54D10" w:rsidRDefault="00B54D10" w:rsidP="00B54D10">
      <w:pPr>
        <w:spacing w:after="0" w:line="240" w:lineRule="auto"/>
        <w:rPr>
          <w:rFonts w:ascii="Arial" w:eastAsia="Calibri" w:hAnsi="Arial" w:cs="Arial"/>
          <w:sz w:val="20"/>
          <w:lang w:eastAsia="en-GB"/>
        </w:rPr>
      </w:pPr>
    </w:p>
    <w:p w:rsidR="00DD25EE" w:rsidRDefault="00DA6D83" w:rsidP="00F53117">
      <w:pPr>
        <w:spacing w:after="120"/>
        <w:rPr>
          <w:rFonts w:ascii="Arial" w:hAnsi="Arial" w:cs="Arial"/>
          <w:sz w:val="20"/>
          <w:u w:val="single"/>
        </w:rPr>
      </w:pPr>
      <w:r w:rsidRPr="00DA6D83">
        <w:rPr>
          <w:rFonts w:ascii="Arial" w:hAnsi="Arial" w:cs="Arial"/>
          <w:sz w:val="20"/>
          <w:u w:val="single"/>
        </w:rPr>
        <w:t xml:space="preserve">Practical Solutions: </w:t>
      </w:r>
    </w:p>
    <w:p w:rsidR="0007334C" w:rsidRPr="0007334C" w:rsidRDefault="0007334C" w:rsidP="00DA6D83">
      <w:pPr>
        <w:pStyle w:val="ListParagraph"/>
        <w:numPr>
          <w:ilvl w:val="0"/>
          <w:numId w:val="3"/>
        </w:numPr>
        <w:rPr>
          <w:rFonts w:ascii="Arial" w:hAnsi="Arial" w:cs="Arial"/>
          <w:sz w:val="20"/>
        </w:rPr>
      </w:pPr>
      <w:r w:rsidRPr="0007334C">
        <w:rPr>
          <w:rFonts w:ascii="Arial" w:hAnsi="Arial" w:cs="Arial"/>
          <w:sz w:val="20"/>
        </w:rPr>
        <w:t xml:space="preserve">Good quality immigration advice is crucial for unlocking complex and complicated asylum and immigration cases. It is also important for providing impartial advice on options for returning home. </w:t>
      </w:r>
    </w:p>
    <w:p w:rsidR="00D24141" w:rsidRPr="0007334C" w:rsidRDefault="00D24141" w:rsidP="0007334C">
      <w:pPr>
        <w:pStyle w:val="ListParagraph"/>
        <w:numPr>
          <w:ilvl w:val="0"/>
          <w:numId w:val="3"/>
        </w:numPr>
        <w:rPr>
          <w:rFonts w:ascii="Arial" w:hAnsi="Arial" w:cs="Arial"/>
          <w:sz w:val="20"/>
        </w:rPr>
      </w:pPr>
      <w:r>
        <w:rPr>
          <w:rFonts w:ascii="Arial" w:hAnsi="Arial" w:cs="Arial"/>
          <w:sz w:val="20"/>
        </w:rPr>
        <w:t>Providing day to day subsis</w:t>
      </w:r>
      <w:r w:rsidR="0007334C">
        <w:rPr>
          <w:rFonts w:ascii="Arial" w:hAnsi="Arial" w:cs="Arial"/>
          <w:sz w:val="20"/>
        </w:rPr>
        <w:t>tence and humanitarian support. Sourcing and referring to hardship funds to access destitution payments</w:t>
      </w:r>
    </w:p>
    <w:p w:rsidR="008205D3" w:rsidRPr="00D24141" w:rsidRDefault="008205D3" w:rsidP="00DA6D83">
      <w:pPr>
        <w:pStyle w:val="ListParagraph"/>
        <w:numPr>
          <w:ilvl w:val="0"/>
          <w:numId w:val="3"/>
        </w:numPr>
        <w:rPr>
          <w:rFonts w:ascii="Arial" w:hAnsi="Arial" w:cs="Arial"/>
          <w:sz w:val="20"/>
          <w:u w:val="single"/>
        </w:rPr>
      </w:pPr>
      <w:r>
        <w:rPr>
          <w:rFonts w:ascii="Arial" w:hAnsi="Arial" w:cs="Arial"/>
          <w:sz w:val="20"/>
        </w:rPr>
        <w:t>Provide realist and honest assessments of the limitations of support – manage expectations</w:t>
      </w:r>
    </w:p>
    <w:p w:rsidR="00DA6D83" w:rsidRPr="00DA6D83" w:rsidRDefault="00DA6D83" w:rsidP="00DA6D83">
      <w:pPr>
        <w:pStyle w:val="ListParagraph"/>
        <w:numPr>
          <w:ilvl w:val="0"/>
          <w:numId w:val="3"/>
        </w:numPr>
        <w:rPr>
          <w:rFonts w:ascii="Arial" w:hAnsi="Arial" w:cs="Arial"/>
          <w:sz w:val="20"/>
          <w:u w:val="single"/>
        </w:rPr>
      </w:pPr>
      <w:r>
        <w:rPr>
          <w:rFonts w:ascii="Arial" w:hAnsi="Arial" w:cs="Arial"/>
          <w:sz w:val="20"/>
        </w:rPr>
        <w:t xml:space="preserve">Working in partnership with OISC accredited immigration advice providers (e.g. Refugee Action, British Red Cross, Refugee Council, </w:t>
      </w:r>
      <w:r w:rsidR="009C7C48">
        <w:rPr>
          <w:rFonts w:ascii="Arial" w:hAnsi="Arial" w:cs="Arial"/>
          <w:sz w:val="20"/>
        </w:rPr>
        <w:t xml:space="preserve">Praxis Community Projects, </w:t>
      </w:r>
      <w:r>
        <w:rPr>
          <w:rFonts w:ascii="Arial" w:hAnsi="Arial" w:cs="Arial"/>
          <w:sz w:val="20"/>
        </w:rPr>
        <w:t>Street Legal etc)</w:t>
      </w:r>
    </w:p>
    <w:p w:rsidR="00DA6D83" w:rsidRDefault="00DA6D83" w:rsidP="00DA6D83">
      <w:pPr>
        <w:pStyle w:val="ListParagraph"/>
        <w:numPr>
          <w:ilvl w:val="0"/>
          <w:numId w:val="3"/>
        </w:numPr>
        <w:rPr>
          <w:rFonts w:ascii="Arial" w:hAnsi="Arial" w:cs="Arial"/>
          <w:sz w:val="20"/>
        </w:rPr>
      </w:pPr>
      <w:r w:rsidRPr="00DA6D83">
        <w:rPr>
          <w:rFonts w:ascii="Arial" w:hAnsi="Arial" w:cs="Arial"/>
          <w:sz w:val="20"/>
        </w:rPr>
        <w:t>Support to pay for</w:t>
      </w:r>
      <w:r>
        <w:rPr>
          <w:rFonts w:ascii="Arial" w:hAnsi="Arial" w:cs="Arial"/>
          <w:sz w:val="20"/>
        </w:rPr>
        <w:t xml:space="preserve"> crucial non-immigration related documents such as I.D, birth certificates, evidence of length of stay. </w:t>
      </w:r>
    </w:p>
    <w:p w:rsidR="00DA6D83" w:rsidRDefault="00D24141" w:rsidP="00DA6D83">
      <w:pPr>
        <w:pStyle w:val="ListParagraph"/>
        <w:numPr>
          <w:ilvl w:val="0"/>
          <w:numId w:val="3"/>
        </w:numPr>
        <w:rPr>
          <w:rFonts w:ascii="Arial" w:hAnsi="Arial" w:cs="Arial"/>
          <w:sz w:val="20"/>
        </w:rPr>
      </w:pPr>
      <w:r>
        <w:rPr>
          <w:rFonts w:ascii="Arial" w:hAnsi="Arial" w:cs="Arial"/>
          <w:sz w:val="20"/>
        </w:rPr>
        <w:t>Supporting non-EEA destitute migrants into projects that provide</w:t>
      </w:r>
      <w:r w:rsidR="00DA6D83">
        <w:rPr>
          <w:rFonts w:ascii="Arial" w:hAnsi="Arial" w:cs="Arial"/>
          <w:sz w:val="20"/>
        </w:rPr>
        <w:t xml:space="preserve"> non-housing benefit related accommodation services – such as that provided by No Accommodation Network (NACCOM). </w:t>
      </w:r>
    </w:p>
    <w:p w:rsidR="00DA6D83" w:rsidRPr="00DA6D83" w:rsidRDefault="00DA6D83" w:rsidP="00F53117">
      <w:pPr>
        <w:spacing w:after="120"/>
        <w:rPr>
          <w:rFonts w:ascii="Arial" w:hAnsi="Arial" w:cs="Arial"/>
          <w:sz w:val="20"/>
          <w:u w:val="single"/>
        </w:rPr>
      </w:pPr>
      <w:r w:rsidRPr="00DA6D83">
        <w:rPr>
          <w:rFonts w:ascii="Arial" w:hAnsi="Arial" w:cs="Arial"/>
          <w:sz w:val="20"/>
          <w:u w:val="single"/>
        </w:rPr>
        <w:t xml:space="preserve">Resource list: </w:t>
      </w:r>
    </w:p>
    <w:p w:rsidR="00D24141" w:rsidRPr="00D24141" w:rsidRDefault="00D24141" w:rsidP="00D24141">
      <w:pPr>
        <w:pStyle w:val="ListParagraph"/>
        <w:numPr>
          <w:ilvl w:val="0"/>
          <w:numId w:val="4"/>
        </w:numPr>
        <w:rPr>
          <w:rFonts w:ascii="Arial" w:hAnsi="Arial" w:cs="Arial"/>
          <w:b/>
          <w:sz w:val="20"/>
        </w:rPr>
      </w:pPr>
      <w:r w:rsidRPr="00D24141">
        <w:rPr>
          <w:rFonts w:ascii="Arial" w:hAnsi="Arial" w:cs="Arial"/>
          <w:b/>
          <w:i/>
          <w:sz w:val="20"/>
        </w:rPr>
        <w:t>Know Your Rights – A Guide for Migrants</w:t>
      </w:r>
      <w:r>
        <w:rPr>
          <w:rFonts w:ascii="Arial" w:hAnsi="Arial" w:cs="Arial"/>
          <w:b/>
          <w:i/>
          <w:sz w:val="20"/>
        </w:rPr>
        <w:t xml:space="preserve"> </w:t>
      </w:r>
      <w:r w:rsidRPr="00D24141">
        <w:rPr>
          <w:rFonts w:ascii="Arial" w:hAnsi="Arial" w:cs="Arial"/>
          <w:sz w:val="20"/>
        </w:rPr>
        <w:t>guide aims to help migrants understand their rights and how to assert them in 8 key areas of everyday life: banking, driving, education, employment, health, housing, social services, an</w:t>
      </w:r>
      <w:r>
        <w:rPr>
          <w:rFonts w:ascii="Arial" w:hAnsi="Arial" w:cs="Arial"/>
          <w:sz w:val="20"/>
        </w:rPr>
        <w:t xml:space="preserve">d the detention and </w:t>
      </w:r>
      <w:r w:rsidRPr="00D24141">
        <w:rPr>
          <w:rFonts w:ascii="Arial" w:hAnsi="Arial" w:cs="Arial"/>
          <w:sz w:val="20"/>
        </w:rPr>
        <w:t>deportation.</w:t>
      </w:r>
      <w:r>
        <w:rPr>
          <w:rFonts w:ascii="Arial" w:hAnsi="Arial" w:cs="Arial"/>
          <w:sz w:val="20"/>
        </w:rPr>
        <w:t xml:space="preserve"> </w:t>
      </w:r>
      <w:hyperlink r:id="rId10" w:history="1">
        <w:r w:rsidRPr="00D24141">
          <w:rPr>
            <w:rStyle w:val="Hyperlink"/>
            <w:rFonts w:ascii="Arial" w:hAnsi="Arial" w:cs="Arial"/>
            <w:i/>
            <w:sz w:val="20"/>
          </w:rPr>
          <w:t>https://migrantsrights.org.uk/blog/2018/03/13/know-rights-guide-migrants/</w:t>
        </w:r>
      </w:hyperlink>
      <w:r>
        <w:rPr>
          <w:rFonts w:ascii="Arial" w:hAnsi="Arial" w:cs="Arial"/>
          <w:b/>
          <w:i/>
          <w:sz w:val="20"/>
        </w:rPr>
        <w:t xml:space="preserve"> </w:t>
      </w:r>
    </w:p>
    <w:p w:rsidR="00D24141" w:rsidRPr="00D24141" w:rsidRDefault="00D24141" w:rsidP="00D24141">
      <w:pPr>
        <w:pStyle w:val="ListParagraph"/>
        <w:numPr>
          <w:ilvl w:val="0"/>
          <w:numId w:val="4"/>
        </w:numPr>
        <w:rPr>
          <w:rFonts w:ascii="Arial" w:hAnsi="Arial" w:cs="Arial"/>
          <w:b/>
          <w:sz w:val="20"/>
        </w:rPr>
      </w:pPr>
      <w:r w:rsidRPr="00D24141">
        <w:rPr>
          <w:rFonts w:ascii="Arial" w:hAnsi="Arial" w:cs="Arial"/>
          <w:b/>
          <w:i/>
          <w:sz w:val="20"/>
        </w:rPr>
        <w:t>Supporting people with no recourse to public funds</w:t>
      </w:r>
      <w:r>
        <w:rPr>
          <w:rFonts w:ascii="Arial" w:hAnsi="Arial" w:cs="Arial"/>
          <w:b/>
          <w:sz w:val="20"/>
        </w:rPr>
        <w:t xml:space="preserve"> </w:t>
      </w:r>
      <w:r w:rsidRPr="00D24141">
        <w:rPr>
          <w:rFonts w:ascii="Arial" w:hAnsi="Arial" w:cs="Arial"/>
          <w:sz w:val="20"/>
        </w:rPr>
        <w:t xml:space="preserve">guidance aims to provide information for </w:t>
      </w:r>
      <w:r>
        <w:rPr>
          <w:rFonts w:ascii="Arial" w:hAnsi="Arial" w:cs="Arial"/>
          <w:sz w:val="20"/>
        </w:rPr>
        <w:t xml:space="preserve">frontline homelessness services and </w:t>
      </w:r>
      <w:r w:rsidRPr="00D24141">
        <w:rPr>
          <w:rFonts w:ascii="Arial" w:hAnsi="Arial" w:cs="Arial"/>
          <w:sz w:val="20"/>
        </w:rPr>
        <w:t>local authorities to help them identify which clients are NRPF and what their options might be, in order to develop a support offer.</w:t>
      </w:r>
      <w:r>
        <w:rPr>
          <w:rFonts w:ascii="Arial" w:hAnsi="Arial" w:cs="Arial"/>
          <w:b/>
          <w:sz w:val="20"/>
        </w:rPr>
        <w:t xml:space="preserve"> </w:t>
      </w:r>
      <w:hyperlink r:id="rId11" w:history="1">
        <w:r w:rsidRPr="00D24141">
          <w:rPr>
            <w:rStyle w:val="Hyperlink"/>
            <w:rFonts w:ascii="Arial" w:hAnsi="Arial" w:cs="Arial"/>
            <w:sz w:val="20"/>
          </w:rPr>
          <w:t>https://www.homeless.org.uk/our-work/resources/supporting-people-with-no-recourse-to-public-funds</w:t>
        </w:r>
      </w:hyperlink>
      <w:r w:rsidRPr="00D24141">
        <w:rPr>
          <w:rFonts w:ascii="Arial" w:hAnsi="Arial" w:cs="Arial"/>
          <w:b/>
          <w:sz w:val="20"/>
        </w:rPr>
        <w:t xml:space="preserve"> </w:t>
      </w:r>
    </w:p>
    <w:p w:rsidR="00DA6D83" w:rsidRDefault="00DA6D83" w:rsidP="00DA6D83">
      <w:pPr>
        <w:pStyle w:val="ListParagraph"/>
        <w:numPr>
          <w:ilvl w:val="0"/>
          <w:numId w:val="4"/>
        </w:numPr>
        <w:rPr>
          <w:rFonts w:ascii="Arial" w:hAnsi="Arial" w:cs="Arial"/>
          <w:sz w:val="20"/>
        </w:rPr>
      </w:pPr>
      <w:r w:rsidRPr="00D24141">
        <w:rPr>
          <w:rFonts w:ascii="Arial" w:hAnsi="Arial" w:cs="Arial"/>
          <w:b/>
          <w:i/>
          <w:sz w:val="20"/>
        </w:rPr>
        <w:t>Migrant Destitution Toolkit</w:t>
      </w:r>
      <w:r w:rsidRPr="00D24141">
        <w:rPr>
          <w:rFonts w:ascii="Arial" w:hAnsi="Arial" w:cs="Arial"/>
          <w:i/>
          <w:sz w:val="20"/>
        </w:rPr>
        <w:t>:</w:t>
      </w:r>
      <w:r>
        <w:rPr>
          <w:rFonts w:ascii="Arial" w:hAnsi="Arial" w:cs="Arial"/>
          <w:sz w:val="20"/>
        </w:rPr>
        <w:t xml:space="preserve"> </w:t>
      </w:r>
      <w:r w:rsidRPr="00DA6D83">
        <w:rPr>
          <w:rFonts w:ascii="Arial" w:hAnsi="Arial" w:cs="Arial"/>
          <w:sz w:val="20"/>
        </w:rPr>
        <w:t>offers practical support to improve pathways out of destitution for destitute migrants.</w:t>
      </w:r>
      <w:r>
        <w:rPr>
          <w:rFonts w:ascii="Arial" w:hAnsi="Arial" w:cs="Arial"/>
          <w:sz w:val="20"/>
        </w:rPr>
        <w:t xml:space="preserve"> </w:t>
      </w:r>
      <w:hyperlink r:id="rId12" w:history="1">
        <w:r w:rsidRPr="00043493">
          <w:rPr>
            <w:rStyle w:val="Hyperlink"/>
            <w:rFonts w:ascii="Arial" w:hAnsi="Arial" w:cs="Arial"/>
            <w:sz w:val="20"/>
          </w:rPr>
          <w:t>https://www.homeless.org.uk/our-work/national-projects/strategic-alliance-on-migrant-destitution/migrant-destitution-toolkit</w:t>
        </w:r>
      </w:hyperlink>
      <w:r>
        <w:rPr>
          <w:rFonts w:ascii="Arial" w:hAnsi="Arial" w:cs="Arial"/>
          <w:sz w:val="20"/>
        </w:rPr>
        <w:t xml:space="preserve"> </w:t>
      </w:r>
    </w:p>
    <w:p w:rsidR="00DA6D83" w:rsidRDefault="00DA6D83" w:rsidP="00DA6D83">
      <w:pPr>
        <w:pStyle w:val="ListParagraph"/>
        <w:numPr>
          <w:ilvl w:val="0"/>
          <w:numId w:val="4"/>
        </w:numPr>
        <w:rPr>
          <w:rFonts w:ascii="Arial" w:hAnsi="Arial" w:cs="Arial"/>
          <w:sz w:val="20"/>
        </w:rPr>
      </w:pPr>
      <w:r w:rsidRPr="00D24141">
        <w:rPr>
          <w:rFonts w:ascii="Arial" w:hAnsi="Arial" w:cs="Arial"/>
          <w:b/>
          <w:i/>
          <w:sz w:val="20"/>
        </w:rPr>
        <w:t>The Right to Remain Toolkit</w:t>
      </w:r>
      <w:r w:rsidRPr="00DA6D83">
        <w:rPr>
          <w:rFonts w:ascii="Arial" w:hAnsi="Arial" w:cs="Arial"/>
          <w:sz w:val="20"/>
        </w:rPr>
        <w:t xml:space="preserve"> is a guide to the UK immigration and asylum system. It gives an overview of the legal system and procedures, with detailed information on rights and options at key stages, and actions you can take in support of your claim, or to help someone else.</w:t>
      </w:r>
      <w:r>
        <w:rPr>
          <w:rFonts w:ascii="Arial" w:hAnsi="Arial" w:cs="Arial"/>
          <w:sz w:val="20"/>
        </w:rPr>
        <w:t xml:space="preserve"> </w:t>
      </w:r>
      <w:hyperlink r:id="rId13" w:history="1">
        <w:r w:rsidRPr="00043493">
          <w:rPr>
            <w:rStyle w:val="Hyperlink"/>
            <w:rFonts w:ascii="Arial" w:hAnsi="Arial" w:cs="Arial"/>
            <w:sz w:val="20"/>
          </w:rPr>
          <w:t>https://righttoremain.org.uk/toolkit/</w:t>
        </w:r>
      </w:hyperlink>
      <w:r>
        <w:rPr>
          <w:rFonts w:ascii="Arial" w:hAnsi="Arial" w:cs="Arial"/>
          <w:sz w:val="20"/>
        </w:rPr>
        <w:t xml:space="preserve"> </w:t>
      </w:r>
    </w:p>
    <w:p w:rsidR="00DA6D83" w:rsidRDefault="00DA6D83" w:rsidP="00DA6D83">
      <w:pPr>
        <w:pStyle w:val="ListParagraph"/>
        <w:numPr>
          <w:ilvl w:val="0"/>
          <w:numId w:val="4"/>
        </w:numPr>
        <w:rPr>
          <w:rFonts w:ascii="Arial" w:hAnsi="Arial" w:cs="Arial"/>
          <w:sz w:val="20"/>
        </w:rPr>
      </w:pPr>
      <w:r w:rsidRPr="00D24141">
        <w:rPr>
          <w:rFonts w:ascii="Arial" w:hAnsi="Arial" w:cs="Arial"/>
          <w:b/>
          <w:i/>
          <w:sz w:val="20"/>
        </w:rPr>
        <w:t>How to Improve Support for Destitute Migrants</w:t>
      </w:r>
      <w:r>
        <w:rPr>
          <w:rFonts w:ascii="Arial" w:hAnsi="Arial" w:cs="Arial"/>
          <w:sz w:val="20"/>
        </w:rPr>
        <w:t xml:space="preserve"> </w:t>
      </w:r>
      <w:r w:rsidRPr="00DA6D83">
        <w:rPr>
          <w:rFonts w:ascii="Arial" w:hAnsi="Arial" w:cs="Arial"/>
          <w:sz w:val="20"/>
        </w:rPr>
        <w:t>offers practical steps to address the issues facing destitute migrants and overcome obstacles to providing accommodation, services and support. It includes learning from existing projects, and legal advice.</w:t>
      </w:r>
      <w:r>
        <w:rPr>
          <w:rFonts w:ascii="Arial" w:hAnsi="Arial" w:cs="Arial"/>
          <w:sz w:val="20"/>
        </w:rPr>
        <w:t xml:space="preserve"> </w:t>
      </w:r>
      <w:hyperlink r:id="rId14" w:history="1">
        <w:r w:rsidRPr="00043493">
          <w:rPr>
            <w:rStyle w:val="Hyperlink"/>
            <w:rFonts w:ascii="Arial" w:hAnsi="Arial" w:cs="Arial"/>
            <w:sz w:val="20"/>
          </w:rPr>
          <w:t>https://www.jrf.org.uk/report/how-improve-support-and-services-destitute-migrants</w:t>
        </w:r>
      </w:hyperlink>
      <w:r>
        <w:rPr>
          <w:rFonts w:ascii="Arial" w:hAnsi="Arial" w:cs="Arial"/>
          <w:sz w:val="20"/>
        </w:rPr>
        <w:t xml:space="preserve"> </w:t>
      </w:r>
    </w:p>
    <w:p w:rsidR="00DA6D83" w:rsidRDefault="00DA6D83" w:rsidP="00DA6D83">
      <w:pPr>
        <w:pStyle w:val="ListParagraph"/>
        <w:numPr>
          <w:ilvl w:val="0"/>
          <w:numId w:val="4"/>
        </w:numPr>
        <w:rPr>
          <w:rFonts w:ascii="Arial" w:hAnsi="Arial" w:cs="Arial"/>
          <w:sz w:val="20"/>
        </w:rPr>
      </w:pPr>
      <w:r w:rsidRPr="00D24141">
        <w:rPr>
          <w:rFonts w:ascii="Arial" w:hAnsi="Arial" w:cs="Arial"/>
          <w:b/>
          <w:i/>
          <w:sz w:val="20"/>
        </w:rPr>
        <w:t>Models of accommodation and support for destitute migrants with NRPF</w:t>
      </w:r>
      <w:r>
        <w:rPr>
          <w:rFonts w:ascii="Arial" w:hAnsi="Arial" w:cs="Arial"/>
          <w:sz w:val="20"/>
        </w:rPr>
        <w:t xml:space="preserve"> </w:t>
      </w:r>
      <w:hyperlink r:id="rId15" w:history="1">
        <w:r w:rsidRPr="00043493">
          <w:rPr>
            <w:rStyle w:val="Hyperlink"/>
            <w:rFonts w:ascii="Arial" w:hAnsi="Arial" w:cs="Arial"/>
            <w:sz w:val="20"/>
          </w:rPr>
          <w:t>https://www.homeless.org.uk/sites/default/files/site-attachments/Models-of-accommodation-and-support-for-migrants-with-NRPF.pdf</w:t>
        </w:r>
      </w:hyperlink>
      <w:r>
        <w:rPr>
          <w:rFonts w:ascii="Arial" w:hAnsi="Arial" w:cs="Arial"/>
          <w:sz w:val="20"/>
        </w:rPr>
        <w:t xml:space="preserve"> </w:t>
      </w:r>
    </w:p>
    <w:p w:rsidR="00D24141" w:rsidRPr="00D24141" w:rsidRDefault="00D24141" w:rsidP="00D24141">
      <w:pPr>
        <w:pStyle w:val="ListParagraph"/>
        <w:numPr>
          <w:ilvl w:val="0"/>
          <w:numId w:val="4"/>
        </w:numPr>
        <w:rPr>
          <w:rFonts w:ascii="Arial" w:hAnsi="Arial" w:cs="Arial"/>
          <w:sz w:val="20"/>
        </w:rPr>
      </w:pPr>
      <w:r w:rsidRPr="00D24141">
        <w:rPr>
          <w:rFonts w:ascii="Arial" w:hAnsi="Arial" w:cs="Arial"/>
          <w:b/>
          <w:i/>
          <w:sz w:val="20"/>
        </w:rPr>
        <w:t>SAMD Destitution Consultation Report (2017)</w:t>
      </w:r>
      <w:r w:rsidR="0007334C">
        <w:rPr>
          <w:rFonts w:ascii="Arial" w:hAnsi="Arial" w:cs="Arial"/>
          <w:b/>
          <w:sz w:val="20"/>
        </w:rPr>
        <w:t xml:space="preserve"> </w:t>
      </w:r>
      <w:hyperlink r:id="rId16" w:history="1">
        <w:r w:rsidRPr="00D24141">
          <w:rPr>
            <w:rStyle w:val="Hyperlink"/>
            <w:rFonts w:ascii="Arial" w:hAnsi="Arial" w:cs="Arial"/>
            <w:sz w:val="20"/>
          </w:rPr>
          <w:t>https://www.homeless.org.uk/sites/default/files/site-attachments/SAMD%20Destitution%20Survey%20Summary%20Report%20June%202017.pdf</w:t>
        </w:r>
      </w:hyperlink>
      <w:r>
        <w:rPr>
          <w:rFonts w:ascii="Arial" w:hAnsi="Arial" w:cs="Arial"/>
          <w:b/>
          <w:sz w:val="20"/>
        </w:rPr>
        <w:t xml:space="preserve"> </w:t>
      </w:r>
    </w:p>
    <w:p w:rsidR="00D24141" w:rsidRDefault="00D24141" w:rsidP="00D24141">
      <w:pPr>
        <w:pStyle w:val="ListParagraph"/>
        <w:numPr>
          <w:ilvl w:val="0"/>
          <w:numId w:val="4"/>
        </w:numPr>
        <w:rPr>
          <w:rFonts w:ascii="Arial" w:hAnsi="Arial" w:cs="Arial"/>
          <w:sz w:val="20"/>
        </w:rPr>
      </w:pPr>
      <w:r w:rsidRPr="00D24141">
        <w:rPr>
          <w:rFonts w:ascii="Arial" w:hAnsi="Arial" w:cs="Arial"/>
          <w:b/>
          <w:i/>
          <w:sz w:val="20"/>
        </w:rPr>
        <w:t>Practical guidance on working with refugees</w:t>
      </w:r>
      <w:r>
        <w:rPr>
          <w:rFonts w:ascii="Arial" w:hAnsi="Arial" w:cs="Arial"/>
          <w:sz w:val="20"/>
        </w:rPr>
        <w:t xml:space="preserve"> </w:t>
      </w:r>
      <w:hyperlink r:id="rId17" w:history="1">
        <w:r w:rsidRPr="00043493">
          <w:rPr>
            <w:rStyle w:val="Hyperlink"/>
            <w:rFonts w:ascii="Arial" w:hAnsi="Arial" w:cs="Arial"/>
            <w:sz w:val="20"/>
          </w:rPr>
          <w:t>https://www.homeless.org.uk/our-work/resources/practical-guidance-on-working-with-refugees</w:t>
        </w:r>
      </w:hyperlink>
      <w:r>
        <w:rPr>
          <w:rFonts w:ascii="Arial" w:hAnsi="Arial" w:cs="Arial"/>
          <w:sz w:val="20"/>
        </w:rPr>
        <w:t xml:space="preserve"> </w:t>
      </w:r>
    </w:p>
    <w:p w:rsidR="00D24141" w:rsidRDefault="00D24141" w:rsidP="00D24141">
      <w:pPr>
        <w:pStyle w:val="ListParagraph"/>
        <w:numPr>
          <w:ilvl w:val="0"/>
          <w:numId w:val="4"/>
        </w:numPr>
        <w:rPr>
          <w:rFonts w:ascii="Arial" w:hAnsi="Arial" w:cs="Arial"/>
          <w:b/>
          <w:sz w:val="20"/>
        </w:rPr>
      </w:pPr>
      <w:r w:rsidRPr="00D24141">
        <w:rPr>
          <w:rFonts w:ascii="Arial" w:hAnsi="Arial" w:cs="Arial"/>
          <w:b/>
          <w:i/>
          <w:sz w:val="20"/>
        </w:rPr>
        <w:t xml:space="preserve">Models of immigration advice, advocacy and representation for destitute migrants, focusing on refused asylum seekers </w:t>
      </w:r>
      <w:hyperlink r:id="rId18" w:history="1">
        <w:r w:rsidRPr="00D24141">
          <w:rPr>
            <w:rStyle w:val="Hyperlink"/>
            <w:rFonts w:ascii="Arial" w:hAnsi="Arial" w:cs="Arial"/>
            <w:sz w:val="20"/>
          </w:rPr>
          <w:t>https://www.homeless.org.uk/sites/default/files/site-attachments/Models%20of%20immigration%20advice%20FULL.pdf</w:t>
        </w:r>
      </w:hyperlink>
      <w:r>
        <w:rPr>
          <w:rFonts w:ascii="Arial" w:hAnsi="Arial" w:cs="Arial"/>
          <w:b/>
          <w:sz w:val="20"/>
        </w:rPr>
        <w:t xml:space="preserve"> </w:t>
      </w:r>
    </w:p>
    <w:p w:rsidR="00FD253F" w:rsidRDefault="00FD253F" w:rsidP="00FD253F">
      <w:pPr>
        <w:rPr>
          <w:rFonts w:ascii="Arial" w:hAnsi="Arial" w:cs="Arial"/>
          <w:sz w:val="20"/>
        </w:rPr>
      </w:pPr>
    </w:p>
    <w:p w:rsidR="00FD253F" w:rsidRPr="00FD253F" w:rsidRDefault="00FD253F" w:rsidP="00FD253F">
      <w:pPr>
        <w:rPr>
          <w:rFonts w:ascii="Arial" w:hAnsi="Arial" w:cs="Arial"/>
          <w:sz w:val="20"/>
          <w:u w:val="single"/>
        </w:rPr>
      </w:pPr>
      <w:r w:rsidRPr="00FD253F">
        <w:rPr>
          <w:rFonts w:ascii="Arial" w:hAnsi="Arial" w:cs="Arial"/>
          <w:sz w:val="20"/>
          <w:u w:val="single"/>
        </w:rPr>
        <w:lastRenderedPageBreak/>
        <w:t>Summary of workshop feedback:</w:t>
      </w:r>
    </w:p>
    <w:p w:rsidR="00CF4A29" w:rsidRDefault="00FD253F" w:rsidP="00FD253F">
      <w:pPr>
        <w:rPr>
          <w:rFonts w:ascii="Arial" w:hAnsi="Arial" w:cs="Arial"/>
          <w:sz w:val="20"/>
        </w:rPr>
      </w:pPr>
      <w:r w:rsidRPr="00FD253F">
        <w:rPr>
          <w:rFonts w:ascii="Arial" w:hAnsi="Arial" w:cs="Arial"/>
          <w:sz w:val="20"/>
        </w:rPr>
        <w:t xml:space="preserve">During the event this workshop was ran twice, with approx. ten frontline workers attending from a very broad range of services including outreach teams, day centres, local authorities, public health, trustees, development workers and staff working in family services. The workshop facilitator focused on facilitating a sharing key challenges and key good practice from working with “the individual”, “the frontline organisation” and “the system”. </w:t>
      </w:r>
    </w:p>
    <w:p w:rsidR="00FD253F" w:rsidRDefault="00FD253F" w:rsidP="00FD253F">
      <w:pPr>
        <w:rPr>
          <w:rFonts w:ascii="Arial" w:hAnsi="Arial" w:cs="Arial"/>
          <w:sz w:val="20"/>
        </w:rPr>
      </w:pPr>
      <w:r w:rsidRPr="00FD253F">
        <w:rPr>
          <w:rFonts w:ascii="Arial" w:hAnsi="Arial" w:cs="Arial"/>
          <w:sz w:val="20"/>
        </w:rPr>
        <w:t xml:space="preserve">Here is a summary of key points: </w:t>
      </w:r>
    </w:p>
    <w:tbl>
      <w:tblPr>
        <w:tblStyle w:val="TableGrid"/>
        <w:tblW w:w="0" w:type="auto"/>
        <w:tblLook w:val="04A0" w:firstRow="1" w:lastRow="0" w:firstColumn="1" w:lastColumn="0" w:noHBand="0" w:noVBand="1"/>
      </w:tblPr>
      <w:tblGrid>
        <w:gridCol w:w="3005"/>
        <w:gridCol w:w="3005"/>
        <w:gridCol w:w="3006"/>
      </w:tblGrid>
      <w:tr w:rsidR="00FD253F" w:rsidTr="00CF4A29">
        <w:trPr>
          <w:trHeight w:val="603"/>
        </w:trPr>
        <w:tc>
          <w:tcPr>
            <w:tcW w:w="9016" w:type="dxa"/>
            <w:gridSpan w:val="3"/>
            <w:shd w:val="pct10" w:color="auto" w:fill="auto"/>
            <w:vAlign w:val="center"/>
          </w:tcPr>
          <w:p w:rsidR="00FD253F" w:rsidRPr="00FD253F" w:rsidRDefault="00FD253F" w:rsidP="00CF4A29">
            <w:pPr>
              <w:jc w:val="center"/>
              <w:rPr>
                <w:rFonts w:ascii="Arial" w:hAnsi="Arial" w:cs="Arial"/>
                <w:b/>
                <w:sz w:val="20"/>
              </w:rPr>
            </w:pPr>
            <w:r w:rsidRPr="00CF4A29">
              <w:rPr>
                <w:rFonts w:ascii="Arial" w:hAnsi="Arial" w:cs="Arial"/>
                <w:b/>
                <w:sz w:val="24"/>
              </w:rPr>
              <w:t>KEY CHALLENGES OF A FRONTLINE WORKER</w:t>
            </w:r>
          </w:p>
        </w:tc>
      </w:tr>
      <w:tr w:rsidR="00FD253F" w:rsidTr="00FD253F">
        <w:tc>
          <w:tcPr>
            <w:tcW w:w="3005" w:type="dxa"/>
          </w:tcPr>
          <w:p w:rsidR="00FD253F" w:rsidRPr="00FD253F" w:rsidRDefault="00CF4A29" w:rsidP="00FD253F">
            <w:pPr>
              <w:jc w:val="center"/>
              <w:rPr>
                <w:rFonts w:ascii="Arial" w:hAnsi="Arial" w:cs="Arial"/>
                <w:b/>
                <w:sz w:val="20"/>
              </w:rPr>
            </w:pPr>
            <w:r>
              <w:rPr>
                <w:rFonts w:ascii="Arial" w:hAnsi="Arial" w:cs="Arial"/>
                <w:b/>
                <w:sz w:val="20"/>
              </w:rPr>
              <w:t>THE INDIVIDUAL</w:t>
            </w:r>
          </w:p>
        </w:tc>
        <w:tc>
          <w:tcPr>
            <w:tcW w:w="3005" w:type="dxa"/>
          </w:tcPr>
          <w:p w:rsidR="00FD253F" w:rsidRPr="00FD253F" w:rsidRDefault="00CF4A29" w:rsidP="00FD253F">
            <w:pPr>
              <w:jc w:val="center"/>
              <w:rPr>
                <w:rFonts w:ascii="Arial" w:hAnsi="Arial" w:cs="Arial"/>
                <w:b/>
                <w:sz w:val="20"/>
              </w:rPr>
            </w:pPr>
            <w:r>
              <w:rPr>
                <w:rFonts w:ascii="Arial" w:hAnsi="Arial" w:cs="Arial"/>
                <w:b/>
                <w:sz w:val="20"/>
              </w:rPr>
              <w:t>FRONTLINE ORGANISATION</w:t>
            </w:r>
          </w:p>
        </w:tc>
        <w:tc>
          <w:tcPr>
            <w:tcW w:w="3006" w:type="dxa"/>
          </w:tcPr>
          <w:p w:rsidR="00FD253F" w:rsidRPr="00FD253F" w:rsidRDefault="00CF4A29" w:rsidP="00FD253F">
            <w:pPr>
              <w:jc w:val="center"/>
              <w:rPr>
                <w:rFonts w:ascii="Arial" w:hAnsi="Arial" w:cs="Arial"/>
                <w:b/>
                <w:sz w:val="20"/>
              </w:rPr>
            </w:pPr>
            <w:r>
              <w:rPr>
                <w:rFonts w:ascii="Arial" w:hAnsi="Arial" w:cs="Arial"/>
                <w:b/>
                <w:sz w:val="20"/>
              </w:rPr>
              <w:t>THE SYSTEM</w:t>
            </w:r>
          </w:p>
        </w:tc>
      </w:tr>
      <w:tr w:rsidR="00FD253F" w:rsidTr="00FD253F">
        <w:tc>
          <w:tcPr>
            <w:tcW w:w="3005" w:type="dxa"/>
          </w:tcPr>
          <w:p w:rsidR="00FD253F" w:rsidRDefault="00FD253F" w:rsidP="00FD253F">
            <w:pPr>
              <w:rPr>
                <w:rFonts w:ascii="Arial" w:hAnsi="Arial" w:cs="Arial"/>
                <w:sz w:val="20"/>
              </w:rPr>
            </w:pPr>
            <w:r>
              <w:rPr>
                <w:rFonts w:ascii="Arial" w:hAnsi="Arial" w:cs="Arial"/>
                <w:sz w:val="20"/>
              </w:rPr>
              <w:t>Language barriers</w:t>
            </w:r>
          </w:p>
        </w:tc>
        <w:tc>
          <w:tcPr>
            <w:tcW w:w="3005" w:type="dxa"/>
          </w:tcPr>
          <w:p w:rsidR="00FD253F" w:rsidRDefault="00FD253F" w:rsidP="00FD253F">
            <w:pPr>
              <w:rPr>
                <w:rFonts w:ascii="Arial" w:hAnsi="Arial" w:cs="Arial"/>
                <w:sz w:val="20"/>
              </w:rPr>
            </w:pPr>
            <w:r>
              <w:rPr>
                <w:rFonts w:ascii="Arial" w:hAnsi="Arial" w:cs="Arial"/>
                <w:sz w:val="20"/>
              </w:rPr>
              <w:t>Only org in the area supporting NRPF</w:t>
            </w:r>
          </w:p>
        </w:tc>
        <w:tc>
          <w:tcPr>
            <w:tcW w:w="3006" w:type="dxa"/>
          </w:tcPr>
          <w:p w:rsidR="00FD253F" w:rsidRDefault="00CF4A29" w:rsidP="00FD253F">
            <w:pPr>
              <w:rPr>
                <w:rFonts w:ascii="Arial" w:hAnsi="Arial" w:cs="Arial"/>
                <w:sz w:val="20"/>
              </w:rPr>
            </w:pPr>
            <w:r>
              <w:rPr>
                <w:rFonts w:ascii="Arial" w:hAnsi="Arial" w:cs="Arial"/>
                <w:sz w:val="20"/>
              </w:rPr>
              <w:t>Prejudice</w:t>
            </w:r>
          </w:p>
        </w:tc>
      </w:tr>
      <w:tr w:rsidR="00FD253F" w:rsidTr="00FD253F">
        <w:tc>
          <w:tcPr>
            <w:tcW w:w="3005" w:type="dxa"/>
          </w:tcPr>
          <w:p w:rsidR="00FD253F" w:rsidRDefault="00FD253F" w:rsidP="00FD253F">
            <w:pPr>
              <w:rPr>
                <w:rFonts w:ascii="Arial" w:hAnsi="Arial" w:cs="Arial"/>
                <w:sz w:val="20"/>
              </w:rPr>
            </w:pPr>
            <w:r>
              <w:rPr>
                <w:rFonts w:ascii="Arial" w:hAnsi="Arial" w:cs="Arial"/>
                <w:sz w:val="20"/>
              </w:rPr>
              <w:t>Cultural incompetence</w:t>
            </w:r>
          </w:p>
        </w:tc>
        <w:tc>
          <w:tcPr>
            <w:tcW w:w="3005" w:type="dxa"/>
          </w:tcPr>
          <w:p w:rsidR="00FD253F" w:rsidRDefault="00CF4A29" w:rsidP="00FD253F">
            <w:pPr>
              <w:rPr>
                <w:rFonts w:ascii="Arial" w:hAnsi="Arial" w:cs="Arial"/>
                <w:sz w:val="20"/>
              </w:rPr>
            </w:pPr>
            <w:r>
              <w:rPr>
                <w:rFonts w:ascii="Arial" w:hAnsi="Arial" w:cs="Arial"/>
                <w:sz w:val="20"/>
              </w:rPr>
              <w:t>Targets Vs Clients Needs</w:t>
            </w:r>
          </w:p>
        </w:tc>
        <w:tc>
          <w:tcPr>
            <w:tcW w:w="3006" w:type="dxa"/>
          </w:tcPr>
          <w:p w:rsidR="00FD253F" w:rsidRDefault="00CF4A29" w:rsidP="00FD253F">
            <w:pPr>
              <w:rPr>
                <w:rFonts w:ascii="Arial" w:hAnsi="Arial" w:cs="Arial"/>
                <w:sz w:val="20"/>
              </w:rPr>
            </w:pPr>
            <w:r>
              <w:rPr>
                <w:rFonts w:ascii="Arial" w:hAnsi="Arial" w:cs="Arial"/>
                <w:sz w:val="20"/>
              </w:rPr>
              <w:t>Lack of funding for legal aid</w:t>
            </w:r>
          </w:p>
        </w:tc>
      </w:tr>
      <w:tr w:rsidR="00FD253F" w:rsidTr="00FD253F">
        <w:tc>
          <w:tcPr>
            <w:tcW w:w="3005" w:type="dxa"/>
          </w:tcPr>
          <w:p w:rsidR="00FD253F" w:rsidRDefault="00FD253F" w:rsidP="00FD253F">
            <w:pPr>
              <w:rPr>
                <w:rFonts w:ascii="Arial" w:hAnsi="Arial" w:cs="Arial"/>
                <w:sz w:val="20"/>
              </w:rPr>
            </w:pPr>
            <w:r>
              <w:rPr>
                <w:rFonts w:ascii="Arial" w:hAnsi="Arial" w:cs="Arial"/>
                <w:sz w:val="20"/>
              </w:rPr>
              <w:t>Loneliness</w:t>
            </w:r>
          </w:p>
        </w:tc>
        <w:tc>
          <w:tcPr>
            <w:tcW w:w="3005" w:type="dxa"/>
          </w:tcPr>
          <w:p w:rsidR="00FD253F" w:rsidRDefault="00CF4A29" w:rsidP="00FD253F">
            <w:pPr>
              <w:rPr>
                <w:rFonts w:ascii="Arial" w:hAnsi="Arial" w:cs="Arial"/>
                <w:sz w:val="20"/>
              </w:rPr>
            </w:pPr>
            <w:r>
              <w:rPr>
                <w:rFonts w:ascii="Arial" w:hAnsi="Arial" w:cs="Arial"/>
                <w:sz w:val="20"/>
              </w:rPr>
              <w:t>Core costs</w:t>
            </w:r>
          </w:p>
        </w:tc>
        <w:tc>
          <w:tcPr>
            <w:tcW w:w="3006" w:type="dxa"/>
          </w:tcPr>
          <w:p w:rsidR="00FD253F" w:rsidRDefault="00CF4A29" w:rsidP="00FD253F">
            <w:pPr>
              <w:rPr>
                <w:rFonts w:ascii="Arial" w:hAnsi="Arial" w:cs="Arial"/>
                <w:sz w:val="20"/>
              </w:rPr>
            </w:pPr>
            <w:r>
              <w:rPr>
                <w:rFonts w:ascii="Arial" w:hAnsi="Arial" w:cs="Arial"/>
                <w:sz w:val="20"/>
              </w:rPr>
              <w:t>Inadequate housing provision</w:t>
            </w:r>
          </w:p>
        </w:tc>
      </w:tr>
      <w:tr w:rsidR="00FD253F" w:rsidTr="00FD253F">
        <w:tc>
          <w:tcPr>
            <w:tcW w:w="3005" w:type="dxa"/>
          </w:tcPr>
          <w:p w:rsidR="00FD253F" w:rsidRDefault="00FD253F" w:rsidP="00FD253F">
            <w:pPr>
              <w:rPr>
                <w:rFonts w:ascii="Arial" w:hAnsi="Arial" w:cs="Arial"/>
                <w:sz w:val="20"/>
              </w:rPr>
            </w:pPr>
            <w:r>
              <w:rPr>
                <w:rFonts w:ascii="Arial" w:hAnsi="Arial" w:cs="Arial"/>
                <w:sz w:val="20"/>
              </w:rPr>
              <w:t>Pending immigration decisions</w:t>
            </w:r>
          </w:p>
        </w:tc>
        <w:tc>
          <w:tcPr>
            <w:tcW w:w="3005" w:type="dxa"/>
          </w:tcPr>
          <w:p w:rsidR="00FD253F" w:rsidRDefault="00CF4A29" w:rsidP="00FD253F">
            <w:pPr>
              <w:rPr>
                <w:rFonts w:ascii="Arial" w:hAnsi="Arial" w:cs="Arial"/>
                <w:sz w:val="20"/>
              </w:rPr>
            </w:pPr>
            <w:r>
              <w:rPr>
                <w:rFonts w:ascii="Arial" w:hAnsi="Arial" w:cs="Arial"/>
                <w:sz w:val="20"/>
              </w:rPr>
              <w:t>No formal advice or training</w:t>
            </w:r>
          </w:p>
        </w:tc>
        <w:tc>
          <w:tcPr>
            <w:tcW w:w="3006" w:type="dxa"/>
          </w:tcPr>
          <w:p w:rsidR="00FD253F" w:rsidRDefault="00CF4A29" w:rsidP="00FD253F">
            <w:pPr>
              <w:rPr>
                <w:rFonts w:ascii="Arial" w:hAnsi="Arial" w:cs="Arial"/>
                <w:sz w:val="20"/>
              </w:rPr>
            </w:pPr>
            <w:r>
              <w:rPr>
                <w:rFonts w:ascii="Arial" w:hAnsi="Arial" w:cs="Arial"/>
                <w:sz w:val="20"/>
              </w:rPr>
              <w:t>Groups not recognised by gov – Windrush etc</w:t>
            </w:r>
          </w:p>
        </w:tc>
      </w:tr>
      <w:tr w:rsidR="00FD253F" w:rsidTr="00FD253F">
        <w:tc>
          <w:tcPr>
            <w:tcW w:w="3005" w:type="dxa"/>
          </w:tcPr>
          <w:p w:rsidR="00FD253F" w:rsidRDefault="00FD253F" w:rsidP="00FD253F">
            <w:pPr>
              <w:rPr>
                <w:rFonts w:ascii="Arial" w:hAnsi="Arial" w:cs="Arial"/>
                <w:sz w:val="20"/>
              </w:rPr>
            </w:pPr>
            <w:r>
              <w:rPr>
                <w:rFonts w:ascii="Arial" w:hAnsi="Arial" w:cs="Arial"/>
                <w:sz w:val="20"/>
              </w:rPr>
              <w:t>Fear of losing children</w:t>
            </w:r>
          </w:p>
        </w:tc>
        <w:tc>
          <w:tcPr>
            <w:tcW w:w="3005" w:type="dxa"/>
          </w:tcPr>
          <w:p w:rsidR="00FD253F" w:rsidRDefault="00CF4A29" w:rsidP="00FD253F">
            <w:pPr>
              <w:rPr>
                <w:rFonts w:ascii="Arial" w:hAnsi="Arial" w:cs="Arial"/>
                <w:sz w:val="20"/>
              </w:rPr>
            </w:pPr>
            <w:r>
              <w:rPr>
                <w:rFonts w:ascii="Arial" w:hAnsi="Arial" w:cs="Arial"/>
                <w:sz w:val="20"/>
              </w:rPr>
              <w:t>Resource Intensive cases</w:t>
            </w:r>
          </w:p>
        </w:tc>
        <w:tc>
          <w:tcPr>
            <w:tcW w:w="3006" w:type="dxa"/>
          </w:tcPr>
          <w:p w:rsidR="00FD253F" w:rsidRDefault="00CF4A29" w:rsidP="00FD253F">
            <w:pPr>
              <w:rPr>
                <w:rFonts w:ascii="Arial" w:hAnsi="Arial" w:cs="Arial"/>
                <w:sz w:val="20"/>
              </w:rPr>
            </w:pPr>
            <w:r>
              <w:rPr>
                <w:rFonts w:ascii="Arial" w:hAnsi="Arial" w:cs="Arial"/>
                <w:sz w:val="20"/>
              </w:rPr>
              <w:t>Poor Home Office decision making</w:t>
            </w:r>
          </w:p>
        </w:tc>
      </w:tr>
      <w:tr w:rsidR="00FD253F" w:rsidTr="00FD253F">
        <w:tc>
          <w:tcPr>
            <w:tcW w:w="3005" w:type="dxa"/>
          </w:tcPr>
          <w:p w:rsidR="00FD253F" w:rsidRDefault="00FD253F" w:rsidP="00FD253F">
            <w:pPr>
              <w:rPr>
                <w:rFonts w:ascii="Arial" w:hAnsi="Arial" w:cs="Arial"/>
                <w:sz w:val="20"/>
              </w:rPr>
            </w:pPr>
            <w:r>
              <w:rPr>
                <w:rFonts w:ascii="Arial" w:hAnsi="Arial" w:cs="Arial"/>
                <w:sz w:val="20"/>
              </w:rPr>
              <w:t>Personal/vicarious trauma</w:t>
            </w:r>
          </w:p>
        </w:tc>
        <w:tc>
          <w:tcPr>
            <w:tcW w:w="3005" w:type="dxa"/>
          </w:tcPr>
          <w:p w:rsidR="00FD253F" w:rsidRDefault="00CF4A29" w:rsidP="00FD253F">
            <w:pPr>
              <w:rPr>
                <w:rFonts w:ascii="Arial" w:hAnsi="Arial" w:cs="Arial"/>
                <w:sz w:val="20"/>
              </w:rPr>
            </w:pPr>
            <w:r>
              <w:rPr>
                <w:rFonts w:ascii="Arial" w:hAnsi="Arial" w:cs="Arial"/>
                <w:sz w:val="20"/>
              </w:rPr>
              <w:t>Accessing legal aid</w:t>
            </w:r>
          </w:p>
        </w:tc>
        <w:tc>
          <w:tcPr>
            <w:tcW w:w="3006" w:type="dxa"/>
          </w:tcPr>
          <w:p w:rsidR="00FD253F" w:rsidRDefault="00CF4A29" w:rsidP="00FD253F">
            <w:pPr>
              <w:rPr>
                <w:rFonts w:ascii="Arial" w:hAnsi="Arial" w:cs="Arial"/>
                <w:sz w:val="20"/>
              </w:rPr>
            </w:pPr>
            <w:r>
              <w:rPr>
                <w:rFonts w:ascii="Arial" w:hAnsi="Arial" w:cs="Arial"/>
                <w:sz w:val="20"/>
              </w:rPr>
              <w:t>Hostile environment</w:t>
            </w:r>
          </w:p>
        </w:tc>
      </w:tr>
      <w:tr w:rsidR="00FD253F" w:rsidTr="00FD253F">
        <w:tc>
          <w:tcPr>
            <w:tcW w:w="3005" w:type="dxa"/>
          </w:tcPr>
          <w:p w:rsidR="00FD253F" w:rsidRDefault="00FD253F" w:rsidP="00FD253F">
            <w:pPr>
              <w:rPr>
                <w:rFonts w:ascii="Arial" w:hAnsi="Arial" w:cs="Arial"/>
                <w:sz w:val="20"/>
              </w:rPr>
            </w:pPr>
            <w:r>
              <w:rPr>
                <w:rFonts w:ascii="Arial" w:hAnsi="Arial" w:cs="Arial"/>
                <w:sz w:val="20"/>
              </w:rPr>
              <w:t>Distrust of services</w:t>
            </w:r>
          </w:p>
        </w:tc>
        <w:tc>
          <w:tcPr>
            <w:tcW w:w="3005" w:type="dxa"/>
          </w:tcPr>
          <w:p w:rsidR="00FD253F" w:rsidRDefault="00CF4A29" w:rsidP="00FD253F">
            <w:pPr>
              <w:rPr>
                <w:rFonts w:ascii="Arial" w:hAnsi="Arial" w:cs="Arial"/>
                <w:sz w:val="20"/>
              </w:rPr>
            </w:pPr>
            <w:r>
              <w:rPr>
                <w:rFonts w:ascii="Arial" w:hAnsi="Arial" w:cs="Arial"/>
                <w:sz w:val="20"/>
              </w:rPr>
              <w:t>Criminal records of clients</w:t>
            </w:r>
          </w:p>
        </w:tc>
        <w:tc>
          <w:tcPr>
            <w:tcW w:w="3006" w:type="dxa"/>
          </w:tcPr>
          <w:p w:rsidR="00FD253F" w:rsidRDefault="00CF4A29" w:rsidP="00FD253F">
            <w:pPr>
              <w:rPr>
                <w:rFonts w:ascii="Arial" w:hAnsi="Arial" w:cs="Arial"/>
                <w:sz w:val="20"/>
              </w:rPr>
            </w:pPr>
            <w:r>
              <w:rPr>
                <w:rFonts w:ascii="Arial" w:hAnsi="Arial" w:cs="Arial"/>
                <w:sz w:val="20"/>
              </w:rPr>
              <w:t xml:space="preserve">Constant change – new Immigration acts every two years etc. </w:t>
            </w:r>
          </w:p>
        </w:tc>
      </w:tr>
      <w:tr w:rsidR="00FD253F" w:rsidTr="00FD253F">
        <w:tc>
          <w:tcPr>
            <w:tcW w:w="3005" w:type="dxa"/>
          </w:tcPr>
          <w:p w:rsidR="00FD253F" w:rsidRDefault="00FD253F" w:rsidP="00FD253F">
            <w:pPr>
              <w:rPr>
                <w:rFonts w:ascii="Arial" w:hAnsi="Arial" w:cs="Arial"/>
                <w:sz w:val="20"/>
              </w:rPr>
            </w:pPr>
            <w:r>
              <w:rPr>
                <w:rFonts w:ascii="Arial" w:hAnsi="Arial" w:cs="Arial"/>
                <w:sz w:val="20"/>
              </w:rPr>
              <w:t>Financial abuse</w:t>
            </w:r>
          </w:p>
        </w:tc>
        <w:tc>
          <w:tcPr>
            <w:tcW w:w="3005" w:type="dxa"/>
          </w:tcPr>
          <w:p w:rsidR="00FD253F" w:rsidRDefault="00CF4A29" w:rsidP="00FD253F">
            <w:pPr>
              <w:rPr>
                <w:rFonts w:ascii="Arial" w:hAnsi="Arial" w:cs="Arial"/>
                <w:sz w:val="20"/>
              </w:rPr>
            </w:pPr>
            <w:r>
              <w:rPr>
                <w:rFonts w:ascii="Arial" w:hAnsi="Arial" w:cs="Arial"/>
                <w:sz w:val="20"/>
              </w:rPr>
              <w:t>We’re over run!</w:t>
            </w:r>
          </w:p>
        </w:tc>
        <w:tc>
          <w:tcPr>
            <w:tcW w:w="3006" w:type="dxa"/>
          </w:tcPr>
          <w:p w:rsidR="00FD253F" w:rsidRDefault="00CF4A29" w:rsidP="00FD253F">
            <w:pPr>
              <w:rPr>
                <w:rFonts w:ascii="Arial" w:hAnsi="Arial" w:cs="Arial"/>
                <w:sz w:val="20"/>
              </w:rPr>
            </w:pPr>
            <w:r>
              <w:rPr>
                <w:rFonts w:ascii="Arial" w:hAnsi="Arial" w:cs="Arial"/>
                <w:sz w:val="20"/>
              </w:rPr>
              <w:t>Lack access to public benefits</w:t>
            </w:r>
          </w:p>
        </w:tc>
      </w:tr>
      <w:tr w:rsidR="00FD253F" w:rsidTr="00CF4A29">
        <w:tc>
          <w:tcPr>
            <w:tcW w:w="3005" w:type="dxa"/>
            <w:tcBorders>
              <w:bottom w:val="single" w:sz="4" w:space="0" w:color="auto"/>
            </w:tcBorders>
          </w:tcPr>
          <w:p w:rsidR="00FD253F" w:rsidRDefault="00FD253F" w:rsidP="00FD253F">
            <w:pPr>
              <w:rPr>
                <w:rFonts w:ascii="Arial" w:hAnsi="Arial" w:cs="Arial"/>
                <w:sz w:val="20"/>
              </w:rPr>
            </w:pPr>
            <w:r>
              <w:rPr>
                <w:rFonts w:ascii="Arial" w:hAnsi="Arial" w:cs="Arial"/>
                <w:sz w:val="20"/>
              </w:rPr>
              <w:t>Lack of documents</w:t>
            </w:r>
          </w:p>
        </w:tc>
        <w:tc>
          <w:tcPr>
            <w:tcW w:w="3005" w:type="dxa"/>
            <w:tcBorders>
              <w:bottom w:val="single" w:sz="4" w:space="0" w:color="auto"/>
            </w:tcBorders>
          </w:tcPr>
          <w:p w:rsidR="00FD253F" w:rsidRDefault="00CF4A29" w:rsidP="00FD253F">
            <w:pPr>
              <w:rPr>
                <w:rFonts w:ascii="Arial" w:hAnsi="Arial" w:cs="Arial"/>
                <w:sz w:val="20"/>
              </w:rPr>
            </w:pPr>
            <w:r>
              <w:rPr>
                <w:rFonts w:ascii="Arial" w:hAnsi="Arial" w:cs="Arial"/>
                <w:sz w:val="20"/>
              </w:rPr>
              <w:t>Private funding of lawyers</w:t>
            </w:r>
          </w:p>
        </w:tc>
        <w:tc>
          <w:tcPr>
            <w:tcW w:w="3006" w:type="dxa"/>
            <w:tcBorders>
              <w:bottom w:val="single" w:sz="4" w:space="0" w:color="auto"/>
            </w:tcBorders>
          </w:tcPr>
          <w:p w:rsidR="00FD253F" w:rsidRDefault="00CF4A29" w:rsidP="00FD253F">
            <w:pPr>
              <w:rPr>
                <w:rFonts w:ascii="Arial" w:hAnsi="Arial" w:cs="Arial"/>
                <w:sz w:val="20"/>
              </w:rPr>
            </w:pPr>
            <w:r>
              <w:rPr>
                <w:rFonts w:ascii="Arial" w:hAnsi="Arial" w:cs="Arial"/>
                <w:sz w:val="20"/>
              </w:rPr>
              <w:t>Leave to remain with NRPF!</w:t>
            </w:r>
          </w:p>
        </w:tc>
      </w:tr>
      <w:tr w:rsidR="00FD253F" w:rsidTr="00CF4A29">
        <w:trPr>
          <w:trHeight w:val="643"/>
        </w:trPr>
        <w:tc>
          <w:tcPr>
            <w:tcW w:w="9016" w:type="dxa"/>
            <w:gridSpan w:val="3"/>
            <w:shd w:val="pct10" w:color="auto" w:fill="auto"/>
            <w:vAlign w:val="center"/>
          </w:tcPr>
          <w:p w:rsidR="00FD253F" w:rsidRPr="00FD253F" w:rsidRDefault="00FD253F" w:rsidP="00CF4A29">
            <w:pPr>
              <w:jc w:val="center"/>
              <w:rPr>
                <w:rFonts w:ascii="Arial" w:hAnsi="Arial" w:cs="Arial"/>
                <w:b/>
                <w:sz w:val="20"/>
              </w:rPr>
            </w:pPr>
            <w:r w:rsidRPr="00CF4A29">
              <w:rPr>
                <w:rFonts w:ascii="Arial" w:hAnsi="Arial" w:cs="Arial"/>
                <w:b/>
                <w:sz w:val="24"/>
              </w:rPr>
              <w:t>KEY GOOD PRACTICE OF FRONTLINE WORKERS</w:t>
            </w:r>
          </w:p>
        </w:tc>
      </w:tr>
      <w:tr w:rsidR="00CF4A29" w:rsidTr="00FD253F">
        <w:tc>
          <w:tcPr>
            <w:tcW w:w="3005" w:type="dxa"/>
          </w:tcPr>
          <w:p w:rsidR="00CF4A29" w:rsidRPr="00FD253F" w:rsidRDefault="00CF4A29" w:rsidP="00CF4A29">
            <w:pPr>
              <w:jc w:val="center"/>
              <w:rPr>
                <w:rFonts w:ascii="Arial" w:hAnsi="Arial" w:cs="Arial"/>
                <w:b/>
                <w:sz w:val="20"/>
              </w:rPr>
            </w:pPr>
            <w:r>
              <w:rPr>
                <w:rFonts w:ascii="Arial" w:hAnsi="Arial" w:cs="Arial"/>
                <w:b/>
                <w:sz w:val="20"/>
              </w:rPr>
              <w:t>THE INDIVIDUAL</w:t>
            </w:r>
          </w:p>
        </w:tc>
        <w:tc>
          <w:tcPr>
            <w:tcW w:w="3005" w:type="dxa"/>
          </w:tcPr>
          <w:p w:rsidR="00CF4A29" w:rsidRPr="00FD253F" w:rsidRDefault="00CF4A29" w:rsidP="00CF4A29">
            <w:pPr>
              <w:jc w:val="center"/>
              <w:rPr>
                <w:rFonts w:ascii="Arial" w:hAnsi="Arial" w:cs="Arial"/>
                <w:b/>
                <w:sz w:val="20"/>
              </w:rPr>
            </w:pPr>
            <w:r>
              <w:rPr>
                <w:rFonts w:ascii="Arial" w:hAnsi="Arial" w:cs="Arial"/>
                <w:b/>
                <w:sz w:val="20"/>
              </w:rPr>
              <w:t>FRONTLINE ORGANISATION</w:t>
            </w:r>
          </w:p>
        </w:tc>
        <w:tc>
          <w:tcPr>
            <w:tcW w:w="3006" w:type="dxa"/>
          </w:tcPr>
          <w:p w:rsidR="00CF4A29" w:rsidRPr="00FD253F" w:rsidRDefault="00CF4A29" w:rsidP="00CF4A29">
            <w:pPr>
              <w:jc w:val="center"/>
              <w:rPr>
                <w:rFonts w:ascii="Arial" w:hAnsi="Arial" w:cs="Arial"/>
                <w:b/>
                <w:sz w:val="20"/>
              </w:rPr>
            </w:pPr>
            <w:r>
              <w:rPr>
                <w:rFonts w:ascii="Arial" w:hAnsi="Arial" w:cs="Arial"/>
                <w:b/>
                <w:sz w:val="20"/>
              </w:rPr>
              <w:t>THE SYSTEM</w:t>
            </w:r>
          </w:p>
        </w:tc>
      </w:tr>
      <w:tr w:rsidR="00FD253F" w:rsidTr="00FD253F">
        <w:tc>
          <w:tcPr>
            <w:tcW w:w="3005" w:type="dxa"/>
          </w:tcPr>
          <w:p w:rsidR="00FD253F" w:rsidRPr="00FD253F" w:rsidRDefault="00FD253F" w:rsidP="00FD253F">
            <w:pPr>
              <w:rPr>
                <w:rFonts w:ascii="Arial" w:hAnsi="Arial" w:cs="Arial"/>
                <w:sz w:val="20"/>
              </w:rPr>
            </w:pPr>
            <w:r w:rsidRPr="00FD253F">
              <w:rPr>
                <w:rFonts w:ascii="Arial" w:hAnsi="Arial" w:cs="Arial"/>
                <w:sz w:val="20"/>
              </w:rPr>
              <w:t>Offering a warm and welcome space</w:t>
            </w:r>
          </w:p>
        </w:tc>
        <w:tc>
          <w:tcPr>
            <w:tcW w:w="3005" w:type="dxa"/>
          </w:tcPr>
          <w:p w:rsidR="00FD253F" w:rsidRPr="00CF4A29" w:rsidRDefault="00FD253F" w:rsidP="00FD253F">
            <w:pPr>
              <w:rPr>
                <w:rFonts w:ascii="Arial" w:hAnsi="Arial" w:cs="Arial"/>
                <w:sz w:val="20"/>
              </w:rPr>
            </w:pPr>
            <w:r w:rsidRPr="00CF4A29">
              <w:rPr>
                <w:rFonts w:ascii="Arial" w:hAnsi="Arial" w:cs="Arial"/>
                <w:sz w:val="20"/>
              </w:rPr>
              <w:t>Working in partnerships with commercial law firms</w:t>
            </w:r>
          </w:p>
        </w:tc>
        <w:tc>
          <w:tcPr>
            <w:tcW w:w="3006" w:type="dxa"/>
          </w:tcPr>
          <w:p w:rsidR="00FD253F" w:rsidRPr="00FD253F" w:rsidRDefault="00CF4A29" w:rsidP="00FD253F">
            <w:pPr>
              <w:rPr>
                <w:rFonts w:ascii="Arial" w:hAnsi="Arial" w:cs="Arial"/>
                <w:sz w:val="20"/>
              </w:rPr>
            </w:pPr>
            <w:r>
              <w:rPr>
                <w:rFonts w:ascii="Arial" w:hAnsi="Arial" w:cs="Arial"/>
                <w:sz w:val="20"/>
              </w:rPr>
              <w:t>Contacting local MPs</w:t>
            </w:r>
          </w:p>
        </w:tc>
      </w:tr>
      <w:tr w:rsidR="00FD253F" w:rsidTr="00FD253F">
        <w:tc>
          <w:tcPr>
            <w:tcW w:w="3005" w:type="dxa"/>
          </w:tcPr>
          <w:p w:rsidR="00FD253F" w:rsidRPr="00FD253F" w:rsidRDefault="00FD253F" w:rsidP="00FD253F">
            <w:pPr>
              <w:rPr>
                <w:rFonts w:ascii="Arial" w:hAnsi="Arial" w:cs="Arial"/>
                <w:sz w:val="20"/>
              </w:rPr>
            </w:pPr>
            <w:r w:rsidRPr="00FD253F">
              <w:rPr>
                <w:rFonts w:ascii="Arial" w:hAnsi="Arial" w:cs="Arial"/>
                <w:sz w:val="20"/>
              </w:rPr>
              <w:t>Signposting to appropriate services</w:t>
            </w:r>
          </w:p>
        </w:tc>
        <w:tc>
          <w:tcPr>
            <w:tcW w:w="3005" w:type="dxa"/>
          </w:tcPr>
          <w:p w:rsidR="00FD253F" w:rsidRPr="00CF4A29" w:rsidRDefault="00FD253F" w:rsidP="00FD253F">
            <w:pPr>
              <w:rPr>
                <w:rFonts w:ascii="Arial" w:hAnsi="Arial" w:cs="Arial"/>
                <w:sz w:val="20"/>
              </w:rPr>
            </w:pPr>
            <w:r w:rsidRPr="00CF4A29">
              <w:rPr>
                <w:rFonts w:ascii="Arial" w:hAnsi="Arial" w:cs="Arial"/>
                <w:sz w:val="20"/>
              </w:rPr>
              <w:t>Use websites like Eventbrite to find free training courses</w:t>
            </w:r>
          </w:p>
        </w:tc>
        <w:tc>
          <w:tcPr>
            <w:tcW w:w="3006" w:type="dxa"/>
          </w:tcPr>
          <w:p w:rsidR="00FD253F" w:rsidRPr="00FD253F" w:rsidRDefault="00CF4A29" w:rsidP="00FD253F">
            <w:pPr>
              <w:rPr>
                <w:rFonts w:ascii="Arial" w:hAnsi="Arial" w:cs="Arial"/>
                <w:sz w:val="20"/>
              </w:rPr>
            </w:pPr>
            <w:r>
              <w:rPr>
                <w:rFonts w:ascii="Arial" w:hAnsi="Arial" w:cs="Arial"/>
                <w:sz w:val="20"/>
              </w:rPr>
              <w:t>Contacting the Mayoral Team – homelessness and integration</w:t>
            </w:r>
          </w:p>
        </w:tc>
      </w:tr>
      <w:tr w:rsidR="00FD253F" w:rsidTr="00FD253F">
        <w:tc>
          <w:tcPr>
            <w:tcW w:w="3005" w:type="dxa"/>
          </w:tcPr>
          <w:p w:rsidR="00FD253F" w:rsidRPr="00FD253F" w:rsidRDefault="00FD253F" w:rsidP="00FD253F">
            <w:pPr>
              <w:rPr>
                <w:rFonts w:ascii="Arial" w:hAnsi="Arial" w:cs="Arial"/>
                <w:sz w:val="20"/>
              </w:rPr>
            </w:pPr>
            <w:r w:rsidRPr="00FD253F">
              <w:rPr>
                <w:rFonts w:ascii="Arial" w:hAnsi="Arial" w:cs="Arial"/>
                <w:sz w:val="20"/>
              </w:rPr>
              <w:t>Not over promising</w:t>
            </w:r>
          </w:p>
        </w:tc>
        <w:tc>
          <w:tcPr>
            <w:tcW w:w="3005" w:type="dxa"/>
          </w:tcPr>
          <w:p w:rsidR="00FD253F" w:rsidRPr="00CF4A29" w:rsidRDefault="00FD253F" w:rsidP="00FD253F">
            <w:pPr>
              <w:rPr>
                <w:rFonts w:ascii="Arial" w:hAnsi="Arial" w:cs="Arial"/>
                <w:sz w:val="20"/>
              </w:rPr>
            </w:pPr>
            <w:r w:rsidRPr="00CF4A29">
              <w:rPr>
                <w:rFonts w:ascii="Arial" w:hAnsi="Arial" w:cs="Arial"/>
                <w:sz w:val="20"/>
              </w:rPr>
              <w:t>Trauma informed services</w:t>
            </w:r>
          </w:p>
        </w:tc>
        <w:tc>
          <w:tcPr>
            <w:tcW w:w="3006" w:type="dxa"/>
          </w:tcPr>
          <w:p w:rsidR="00FD253F" w:rsidRPr="00FD253F" w:rsidRDefault="00CF4A29" w:rsidP="00FD253F">
            <w:pPr>
              <w:rPr>
                <w:rFonts w:ascii="Arial" w:hAnsi="Arial" w:cs="Arial"/>
                <w:sz w:val="20"/>
              </w:rPr>
            </w:pPr>
            <w:r>
              <w:rPr>
                <w:rFonts w:ascii="Arial" w:hAnsi="Arial" w:cs="Arial"/>
                <w:sz w:val="20"/>
              </w:rPr>
              <w:t>Feedback to local politicians and elected officials</w:t>
            </w:r>
          </w:p>
        </w:tc>
      </w:tr>
      <w:tr w:rsidR="00FD253F" w:rsidTr="00FD253F">
        <w:tc>
          <w:tcPr>
            <w:tcW w:w="3005" w:type="dxa"/>
          </w:tcPr>
          <w:p w:rsidR="00FD253F" w:rsidRPr="00FD253F" w:rsidRDefault="00FD253F" w:rsidP="00FD253F">
            <w:pPr>
              <w:rPr>
                <w:rFonts w:ascii="Arial" w:hAnsi="Arial" w:cs="Arial"/>
                <w:sz w:val="20"/>
              </w:rPr>
            </w:pPr>
            <w:r w:rsidRPr="00FD253F">
              <w:rPr>
                <w:rFonts w:ascii="Arial" w:hAnsi="Arial" w:cs="Arial"/>
                <w:sz w:val="20"/>
              </w:rPr>
              <w:t>Building trust</w:t>
            </w:r>
          </w:p>
        </w:tc>
        <w:tc>
          <w:tcPr>
            <w:tcW w:w="3005" w:type="dxa"/>
          </w:tcPr>
          <w:p w:rsidR="00FD253F" w:rsidRPr="00CF4A29" w:rsidRDefault="00FD253F" w:rsidP="00FD253F">
            <w:pPr>
              <w:rPr>
                <w:rFonts w:ascii="Arial" w:hAnsi="Arial" w:cs="Arial"/>
                <w:sz w:val="20"/>
              </w:rPr>
            </w:pPr>
            <w:r w:rsidRPr="00CF4A29">
              <w:rPr>
                <w:rFonts w:ascii="Arial" w:hAnsi="Arial" w:cs="Arial"/>
                <w:sz w:val="20"/>
              </w:rPr>
              <w:t>Acquire OISC status/training</w:t>
            </w:r>
          </w:p>
        </w:tc>
        <w:tc>
          <w:tcPr>
            <w:tcW w:w="3006" w:type="dxa"/>
          </w:tcPr>
          <w:p w:rsidR="00FD253F" w:rsidRPr="00FD253F" w:rsidRDefault="00CF4A29" w:rsidP="00FD253F">
            <w:pPr>
              <w:rPr>
                <w:rFonts w:ascii="Arial" w:hAnsi="Arial" w:cs="Arial"/>
                <w:sz w:val="20"/>
              </w:rPr>
            </w:pPr>
            <w:r>
              <w:rPr>
                <w:rFonts w:ascii="Arial" w:hAnsi="Arial" w:cs="Arial"/>
                <w:sz w:val="20"/>
              </w:rPr>
              <w:t>Systems thinking analysis</w:t>
            </w:r>
          </w:p>
        </w:tc>
      </w:tr>
      <w:tr w:rsidR="00FD253F" w:rsidTr="00FD253F">
        <w:tc>
          <w:tcPr>
            <w:tcW w:w="3005" w:type="dxa"/>
          </w:tcPr>
          <w:p w:rsidR="00FD253F" w:rsidRPr="00FD253F" w:rsidRDefault="00FD253F" w:rsidP="00FD253F">
            <w:pPr>
              <w:rPr>
                <w:rFonts w:ascii="Arial" w:hAnsi="Arial" w:cs="Arial"/>
                <w:sz w:val="20"/>
              </w:rPr>
            </w:pPr>
            <w:r w:rsidRPr="00FD253F">
              <w:rPr>
                <w:rFonts w:ascii="Arial" w:hAnsi="Arial" w:cs="Arial"/>
                <w:sz w:val="20"/>
              </w:rPr>
              <w:t>Strengths Based Practice</w:t>
            </w:r>
          </w:p>
        </w:tc>
        <w:tc>
          <w:tcPr>
            <w:tcW w:w="3005" w:type="dxa"/>
          </w:tcPr>
          <w:p w:rsidR="00FD253F" w:rsidRPr="00CF4A29" w:rsidRDefault="00FD253F" w:rsidP="00FD253F">
            <w:pPr>
              <w:rPr>
                <w:rFonts w:ascii="Arial" w:hAnsi="Arial" w:cs="Arial"/>
                <w:sz w:val="20"/>
              </w:rPr>
            </w:pPr>
            <w:r w:rsidRPr="00CF4A29">
              <w:rPr>
                <w:rFonts w:ascii="Arial" w:hAnsi="Arial" w:cs="Arial"/>
                <w:sz w:val="20"/>
              </w:rPr>
              <w:t>Client steering group</w:t>
            </w:r>
          </w:p>
        </w:tc>
        <w:tc>
          <w:tcPr>
            <w:tcW w:w="3006" w:type="dxa"/>
          </w:tcPr>
          <w:p w:rsidR="00FD253F" w:rsidRPr="00FD253F" w:rsidRDefault="00CF4A29" w:rsidP="00FD253F">
            <w:pPr>
              <w:rPr>
                <w:rFonts w:ascii="Arial" w:hAnsi="Arial" w:cs="Arial"/>
                <w:sz w:val="20"/>
              </w:rPr>
            </w:pPr>
            <w:r>
              <w:rPr>
                <w:rFonts w:ascii="Arial" w:hAnsi="Arial" w:cs="Arial"/>
                <w:sz w:val="20"/>
              </w:rPr>
              <w:t>Use the Equality Act</w:t>
            </w:r>
          </w:p>
        </w:tc>
      </w:tr>
      <w:tr w:rsidR="00FD253F" w:rsidTr="00FD253F">
        <w:tc>
          <w:tcPr>
            <w:tcW w:w="3005" w:type="dxa"/>
          </w:tcPr>
          <w:p w:rsidR="00FD253F" w:rsidRPr="00FD253F" w:rsidRDefault="00FD253F" w:rsidP="00FD253F">
            <w:pPr>
              <w:rPr>
                <w:rFonts w:ascii="Arial" w:hAnsi="Arial" w:cs="Arial"/>
                <w:sz w:val="20"/>
              </w:rPr>
            </w:pPr>
            <w:r w:rsidRPr="00FD253F">
              <w:rPr>
                <w:rFonts w:ascii="Arial" w:hAnsi="Arial" w:cs="Arial"/>
                <w:sz w:val="20"/>
              </w:rPr>
              <w:t>Listening</w:t>
            </w:r>
          </w:p>
        </w:tc>
        <w:tc>
          <w:tcPr>
            <w:tcW w:w="3005" w:type="dxa"/>
          </w:tcPr>
          <w:p w:rsidR="00FD253F" w:rsidRPr="00CF4A29" w:rsidRDefault="00CF4A29" w:rsidP="00FD253F">
            <w:pPr>
              <w:rPr>
                <w:rFonts w:ascii="Arial" w:hAnsi="Arial" w:cs="Arial"/>
                <w:sz w:val="20"/>
              </w:rPr>
            </w:pPr>
            <w:r w:rsidRPr="00CF4A29">
              <w:rPr>
                <w:rFonts w:ascii="Arial" w:hAnsi="Arial" w:cs="Arial"/>
                <w:sz w:val="20"/>
              </w:rPr>
              <w:t>UCL Research Department have excellent training and policy events</w:t>
            </w:r>
          </w:p>
        </w:tc>
        <w:tc>
          <w:tcPr>
            <w:tcW w:w="3006" w:type="dxa"/>
          </w:tcPr>
          <w:p w:rsidR="00FD253F" w:rsidRPr="00FD253F" w:rsidRDefault="00CF4A29" w:rsidP="00FD253F">
            <w:pPr>
              <w:rPr>
                <w:rFonts w:ascii="Arial" w:hAnsi="Arial" w:cs="Arial"/>
                <w:sz w:val="20"/>
              </w:rPr>
            </w:pPr>
            <w:r>
              <w:rPr>
                <w:rFonts w:ascii="Arial" w:hAnsi="Arial" w:cs="Arial"/>
                <w:sz w:val="20"/>
              </w:rPr>
              <w:t xml:space="preserve">Using the Care Act </w:t>
            </w:r>
          </w:p>
        </w:tc>
      </w:tr>
      <w:tr w:rsidR="00FD253F" w:rsidTr="00FD253F">
        <w:tc>
          <w:tcPr>
            <w:tcW w:w="3005" w:type="dxa"/>
          </w:tcPr>
          <w:p w:rsidR="00FD253F" w:rsidRPr="00FD253F" w:rsidRDefault="00FD253F" w:rsidP="00FD253F">
            <w:pPr>
              <w:rPr>
                <w:rFonts w:ascii="Arial" w:hAnsi="Arial" w:cs="Arial"/>
                <w:sz w:val="20"/>
              </w:rPr>
            </w:pPr>
            <w:r w:rsidRPr="00FD253F">
              <w:rPr>
                <w:rFonts w:ascii="Arial" w:hAnsi="Arial" w:cs="Arial"/>
                <w:sz w:val="20"/>
              </w:rPr>
              <w:t>Walking “with” people</w:t>
            </w:r>
          </w:p>
        </w:tc>
        <w:tc>
          <w:tcPr>
            <w:tcW w:w="3005" w:type="dxa"/>
          </w:tcPr>
          <w:p w:rsidR="00FD253F" w:rsidRPr="00CF4A29" w:rsidRDefault="00CF4A29" w:rsidP="00FD253F">
            <w:pPr>
              <w:rPr>
                <w:rFonts w:ascii="Arial" w:hAnsi="Arial" w:cs="Arial"/>
                <w:sz w:val="20"/>
              </w:rPr>
            </w:pPr>
            <w:r w:rsidRPr="00CF4A29">
              <w:rPr>
                <w:rFonts w:ascii="Arial" w:hAnsi="Arial" w:cs="Arial"/>
                <w:sz w:val="20"/>
              </w:rPr>
              <w:t xml:space="preserve">Building links with MH and health services </w:t>
            </w:r>
          </w:p>
        </w:tc>
        <w:tc>
          <w:tcPr>
            <w:tcW w:w="3006" w:type="dxa"/>
          </w:tcPr>
          <w:p w:rsidR="00FD253F" w:rsidRPr="00FD253F" w:rsidRDefault="00FD253F" w:rsidP="00FD253F">
            <w:pPr>
              <w:rPr>
                <w:rFonts w:ascii="Arial" w:hAnsi="Arial" w:cs="Arial"/>
                <w:sz w:val="20"/>
              </w:rPr>
            </w:pPr>
          </w:p>
        </w:tc>
      </w:tr>
      <w:tr w:rsidR="00FD253F" w:rsidTr="00FD253F">
        <w:tc>
          <w:tcPr>
            <w:tcW w:w="3005" w:type="dxa"/>
          </w:tcPr>
          <w:p w:rsidR="00FD253F" w:rsidRPr="00FD253F" w:rsidRDefault="00FD253F" w:rsidP="00FD253F">
            <w:pPr>
              <w:rPr>
                <w:rFonts w:ascii="Arial" w:hAnsi="Arial" w:cs="Arial"/>
                <w:sz w:val="20"/>
              </w:rPr>
            </w:pPr>
            <w:r w:rsidRPr="00FD253F">
              <w:rPr>
                <w:rFonts w:ascii="Arial" w:hAnsi="Arial" w:cs="Arial"/>
                <w:sz w:val="20"/>
              </w:rPr>
              <w:t>Managing expectations</w:t>
            </w:r>
          </w:p>
        </w:tc>
        <w:tc>
          <w:tcPr>
            <w:tcW w:w="3005" w:type="dxa"/>
          </w:tcPr>
          <w:p w:rsidR="00FD253F" w:rsidRPr="00CF4A29" w:rsidRDefault="00CF4A29" w:rsidP="00FD253F">
            <w:pPr>
              <w:rPr>
                <w:rFonts w:ascii="Arial" w:hAnsi="Arial" w:cs="Arial"/>
                <w:sz w:val="20"/>
              </w:rPr>
            </w:pPr>
            <w:r w:rsidRPr="00CF4A29">
              <w:rPr>
                <w:rFonts w:ascii="Arial" w:hAnsi="Arial" w:cs="Arial"/>
                <w:sz w:val="20"/>
              </w:rPr>
              <w:t>Accompaniment scheme for visits and meetings</w:t>
            </w:r>
          </w:p>
        </w:tc>
        <w:tc>
          <w:tcPr>
            <w:tcW w:w="3006" w:type="dxa"/>
          </w:tcPr>
          <w:p w:rsidR="00FD253F" w:rsidRPr="00FD253F" w:rsidRDefault="00FD253F" w:rsidP="00FD253F">
            <w:pPr>
              <w:rPr>
                <w:rFonts w:ascii="Arial" w:hAnsi="Arial" w:cs="Arial"/>
                <w:sz w:val="20"/>
              </w:rPr>
            </w:pPr>
          </w:p>
        </w:tc>
      </w:tr>
    </w:tbl>
    <w:p w:rsidR="00FD253F" w:rsidRDefault="00FD253F" w:rsidP="00FD253F">
      <w:pPr>
        <w:rPr>
          <w:rFonts w:ascii="Arial" w:hAnsi="Arial" w:cs="Arial"/>
          <w:sz w:val="20"/>
        </w:rPr>
      </w:pPr>
    </w:p>
    <w:p w:rsidR="00CF4A29" w:rsidRDefault="00CF4A29" w:rsidP="00CF4A29">
      <w:pPr>
        <w:rPr>
          <w:rFonts w:eastAsiaTheme="minorEastAsia"/>
          <w:noProof/>
          <w:lang w:eastAsia="en-GB"/>
        </w:rPr>
      </w:pPr>
      <w:r>
        <w:rPr>
          <w:rFonts w:ascii="Arial" w:eastAsiaTheme="minorEastAsia" w:hAnsi="Arial" w:cs="Arial"/>
          <w:noProof/>
          <w:color w:val="7F7F7F"/>
          <w:lang w:eastAsia="en-GB"/>
        </w:rPr>
        <w:t>Patrick Duce</w:t>
      </w:r>
    </w:p>
    <w:p w:rsidR="00CF4A29" w:rsidRDefault="00CF4A29" w:rsidP="00CF4A29">
      <w:pPr>
        <w:rPr>
          <w:rFonts w:eastAsiaTheme="minorEastAsia"/>
          <w:noProof/>
          <w:lang w:eastAsia="en-GB"/>
        </w:rPr>
      </w:pPr>
      <w:r>
        <w:rPr>
          <w:rFonts w:ascii="Arial" w:eastAsiaTheme="minorEastAsia" w:hAnsi="Arial" w:cs="Arial"/>
          <w:noProof/>
          <w:color w:val="7F7F7F"/>
          <w:lang w:eastAsia="en-GB"/>
        </w:rPr>
        <w:t xml:space="preserve">Innovation and Good Practice Project Manager </w:t>
      </w:r>
    </w:p>
    <w:p w:rsidR="00CF4A29" w:rsidRDefault="00CF4A29" w:rsidP="00CF4A29">
      <w:pPr>
        <w:rPr>
          <w:rFonts w:eastAsiaTheme="minorEastAsia"/>
          <w:noProof/>
          <w:lang w:eastAsia="en-GB"/>
        </w:rPr>
      </w:pPr>
      <w:r>
        <w:rPr>
          <w:rFonts w:ascii="Arial" w:eastAsiaTheme="minorEastAsia" w:hAnsi="Arial" w:cs="Arial"/>
          <w:noProof/>
          <w:color w:val="7F7F7F"/>
          <w:lang w:eastAsia="en-GB"/>
        </w:rPr>
        <w:t>Homeless Link</w:t>
      </w:r>
    </w:p>
    <w:p w:rsidR="00CF4A29" w:rsidRDefault="00CF4A29" w:rsidP="00CF4A29">
      <w:pPr>
        <w:rPr>
          <w:rFonts w:eastAsiaTheme="minorEastAsia"/>
          <w:noProof/>
          <w:lang w:eastAsia="en-GB"/>
        </w:rPr>
      </w:pPr>
      <w:r>
        <w:rPr>
          <w:rFonts w:ascii="Arial" w:eastAsiaTheme="minorEastAsia" w:hAnsi="Arial" w:cs="Arial"/>
          <w:noProof/>
          <w:color w:val="7F7F7F"/>
          <w:lang w:eastAsia="en-GB"/>
        </w:rPr>
        <w:t>t: 020 7840 4468</w:t>
      </w:r>
    </w:p>
    <w:p w:rsidR="00CF4A29" w:rsidRDefault="00CF4A29" w:rsidP="00CF4A29">
      <w:pPr>
        <w:rPr>
          <w:rFonts w:eastAsiaTheme="minorEastAsia"/>
          <w:noProof/>
          <w:lang w:eastAsia="en-GB"/>
        </w:rPr>
      </w:pPr>
      <w:r>
        <w:rPr>
          <w:rFonts w:ascii="Arial" w:eastAsiaTheme="minorEastAsia" w:hAnsi="Arial" w:cs="Arial"/>
          <w:noProof/>
          <w:color w:val="7F7F7F"/>
          <w:lang w:eastAsia="en-GB"/>
        </w:rPr>
        <w:t>m: 0781 086 7168</w:t>
      </w:r>
    </w:p>
    <w:p w:rsidR="00CF4A29" w:rsidRPr="00FD253F" w:rsidRDefault="00CF4A29" w:rsidP="00FD253F">
      <w:pPr>
        <w:rPr>
          <w:rFonts w:ascii="Arial" w:hAnsi="Arial" w:cs="Arial"/>
          <w:sz w:val="20"/>
        </w:rPr>
      </w:pPr>
      <w:r>
        <w:rPr>
          <w:rFonts w:ascii="Arial" w:eastAsiaTheme="minorEastAsia" w:hAnsi="Arial" w:cs="Arial"/>
          <w:noProof/>
          <w:color w:val="7F7F7F"/>
          <w:lang w:eastAsia="en-GB"/>
        </w:rPr>
        <w:t xml:space="preserve">@: </w:t>
      </w:r>
      <w:hyperlink r:id="rId19" w:history="1">
        <w:r>
          <w:rPr>
            <w:rStyle w:val="Hyperlink"/>
            <w:rFonts w:ascii="Arial" w:eastAsiaTheme="minorEastAsia" w:hAnsi="Arial" w:cs="Arial"/>
            <w:noProof/>
            <w:lang w:eastAsia="en-GB"/>
          </w:rPr>
          <w:t>http://twitter.com/Patrick</w:t>
        </w:r>
        <w:r>
          <w:rPr>
            <w:rStyle w:val="Hyperlink"/>
            <w:rFonts w:eastAsiaTheme="minorEastAsia"/>
            <w:noProof/>
            <w:lang w:eastAsia="en-GB"/>
          </w:rPr>
          <w:t>Duce</w:t>
        </w:r>
      </w:hyperlink>
      <w:r>
        <w:rPr>
          <w:rFonts w:eastAsiaTheme="minorEastAsia"/>
          <w:noProof/>
          <w:color w:val="7F7F7F"/>
          <w:lang w:eastAsia="en-GB"/>
        </w:rPr>
        <w:t xml:space="preserve"> </w:t>
      </w:r>
    </w:p>
    <w:sectPr w:rsidR="00CF4A29" w:rsidRPr="00FD25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396" w:rsidRDefault="001B7396" w:rsidP="00DD25EE">
      <w:pPr>
        <w:spacing w:after="0" w:line="240" w:lineRule="auto"/>
      </w:pPr>
      <w:r>
        <w:separator/>
      </w:r>
    </w:p>
  </w:endnote>
  <w:endnote w:type="continuationSeparator" w:id="0">
    <w:p w:rsidR="001B7396" w:rsidRDefault="001B7396" w:rsidP="00DD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396" w:rsidRDefault="001B7396" w:rsidP="00DD25EE">
      <w:pPr>
        <w:spacing w:after="0" w:line="240" w:lineRule="auto"/>
      </w:pPr>
      <w:r>
        <w:separator/>
      </w:r>
    </w:p>
  </w:footnote>
  <w:footnote w:type="continuationSeparator" w:id="0">
    <w:p w:rsidR="001B7396" w:rsidRDefault="001B7396" w:rsidP="00DD25EE">
      <w:pPr>
        <w:spacing w:after="0" w:line="240" w:lineRule="auto"/>
      </w:pPr>
      <w:r>
        <w:continuationSeparator/>
      </w:r>
    </w:p>
  </w:footnote>
  <w:footnote w:id="1">
    <w:p w:rsidR="00B54D10" w:rsidRDefault="00B54D10">
      <w:pPr>
        <w:pStyle w:val="FootnoteText"/>
      </w:pPr>
      <w:r>
        <w:rPr>
          <w:rStyle w:val="FootnoteReference"/>
        </w:rPr>
        <w:footnoteRef/>
      </w:r>
      <w:r>
        <w:t xml:space="preserve"> </w:t>
      </w:r>
      <w:r w:rsidRPr="00D24141">
        <w:rPr>
          <w:rFonts w:ascii="Arial" w:eastAsia="Calibri" w:hAnsi="Arial" w:cs="Arial"/>
          <w:lang w:eastAsia="en-GB"/>
        </w:rPr>
        <w:t>Chain annual report 2016/17</w:t>
      </w:r>
      <w:r w:rsidRPr="00D24141">
        <w:rPr>
          <w:rFonts w:ascii="Arial" w:hAnsi="Arial" w:cs="Arial"/>
        </w:rPr>
        <w:t xml:space="preserve"> </w:t>
      </w:r>
      <w:hyperlink r:id="rId1" w:history="1">
        <w:r w:rsidRPr="00D24141">
          <w:rPr>
            <w:rStyle w:val="Hyperlink"/>
            <w:rFonts w:ascii="Arial" w:hAnsi="Arial" w:cs="Arial"/>
          </w:rPr>
          <w:t>https://files.datapress.com/london/dataset/chain-reports/2017-06-30T09:03:07.84/Greater%20London%20full%202016-17.pdf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40F35"/>
    <w:multiLevelType w:val="hybridMultilevel"/>
    <w:tmpl w:val="42D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22879"/>
    <w:multiLevelType w:val="hybridMultilevel"/>
    <w:tmpl w:val="AEB6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869A0"/>
    <w:multiLevelType w:val="hybridMultilevel"/>
    <w:tmpl w:val="EE30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2533A"/>
    <w:multiLevelType w:val="hybridMultilevel"/>
    <w:tmpl w:val="2224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EE"/>
    <w:rsid w:val="0007334C"/>
    <w:rsid w:val="001B7396"/>
    <w:rsid w:val="00734829"/>
    <w:rsid w:val="008205D3"/>
    <w:rsid w:val="009C7C48"/>
    <w:rsid w:val="009E3292"/>
    <w:rsid w:val="00B54D10"/>
    <w:rsid w:val="00CF4A29"/>
    <w:rsid w:val="00D24141"/>
    <w:rsid w:val="00DA6D83"/>
    <w:rsid w:val="00DD25EE"/>
    <w:rsid w:val="00F159FA"/>
    <w:rsid w:val="00F53117"/>
    <w:rsid w:val="00FD2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C2659-3267-4AE5-9FEA-D96BAE8C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EE"/>
    <w:pPr>
      <w:ind w:left="720"/>
      <w:contextualSpacing/>
    </w:pPr>
  </w:style>
  <w:style w:type="paragraph" w:styleId="FootnoteText">
    <w:name w:val="footnote text"/>
    <w:basedOn w:val="Normal"/>
    <w:link w:val="FootnoteTextChar"/>
    <w:uiPriority w:val="99"/>
    <w:semiHidden/>
    <w:unhideWhenUsed/>
    <w:rsid w:val="00B54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D10"/>
    <w:rPr>
      <w:sz w:val="20"/>
      <w:szCs w:val="20"/>
    </w:rPr>
  </w:style>
  <w:style w:type="character" w:styleId="FootnoteReference">
    <w:name w:val="footnote reference"/>
    <w:basedOn w:val="DefaultParagraphFont"/>
    <w:uiPriority w:val="99"/>
    <w:semiHidden/>
    <w:unhideWhenUsed/>
    <w:rsid w:val="00B54D10"/>
    <w:rPr>
      <w:vertAlign w:val="superscript"/>
    </w:rPr>
  </w:style>
  <w:style w:type="character" w:styleId="Hyperlink">
    <w:name w:val="Hyperlink"/>
    <w:basedOn w:val="DefaultParagraphFont"/>
    <w:uiPriority w:val="99"/>
    <w:unhideWhenUsed/>
    <w:rsid w:val="00B54D10"/>
    <w:rPr>
      <w:color w:val="0563C1" w:themeColor="hyperlink"/>
      <w:u w:val="single"/>
    </w:rPr>
  </w:style>
  <w:style w:type="table" w:styleId="TableGrid">
    <w:name w:val="Table Grid"/>
    <w:basedOn w:val="TableNormal"/>
    <w:uiPriority w:val="39"/>
    <w:rsid w:val="00FD2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24004">
      <w:bodyDiv w:val="1"/>
      <w:marLeft w:val="0"/>
      <w:marRight w:val="0"/>
      <w:marTop w:val="0"/>
      <w:marBottom w:val="0"/>
      <w:divBdr>
        <w:top w:val="none" w:sz="0" w:space="0" w:color="auto"/>
        <w:left w:val="none" w:sz="0" w:space="0" w:color="auto"/>
        <w:bottom w:val="none" w:sz="0" w:space="0" w:color="auto"/>
        <w:right w:val="none" w:sz="0" w:space="0" w:color="auto"/>
      </w:divBdr>
    </w:div>
    <w:div w:id="1087387332">
      <w:bodyDiv w:val="1"/>
      <w:marLeft w:val="0"/>
      <w:marRight w:val="0"/>
      <w:marTop w:val="0"/>
      <w:marBottom w:val="0"/>
      <w:divBdr>
        <w:top w:val="none" w:sz="0" w:space="0" w:color="auto"/>
        <w:left w:val="none" w:sz="0" w:space="0" w:color="auto"/>
        <w:bottom w:val="none" w:sz="0" w:space="0" w:color="auto"/>
        <w:right w:val="none" w:sz="0" w:space="0" w:color="auto"/>
      </w:divBdr>
    </w:div>
    <w:div w:id="154562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ghttoremain.org.uk/toolkit/" TargetMode="External"/><Relationship Id="rId18" Type="http://schemas.openxmlformats.org/officeDocument/2006/relationships/hyperlink" Target="https://www.homeless.org.uk/sites/default/files/site-attachments/Models%20of%20immigration%20advice%20FULL.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omeless.org.uk/our-work/national-projects/strategic-alliance-on-migrant-destitution/migrant-destitution-toolkit" TargetMode="External"/><Relationship Id="rId17" Type="http://schemas.openxmlformats.org/officeDocument/2006/relationships/hyperlink" Target="https://www.homeless.org.uk/our-work/resources/practical-guidance-on-working-with-refugees" TargetMode="External"/><Relationship Id="rId2" Type="http://schemas.openxmlformats.org/officeDocument/2006/relationships/numbering" Target="numbering.xml"/><Relationship Id="rId16" Type="http://schemas.openxmlformats.org/officeDocument/2006/relationships/hyperlink" Target="https://www.homeless.org.uk/sites/default/files/site-attachments/SAMD%20Destitution%20Survey%20Summary%20Report%20June%20201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meless.org.uk/our-work/resources/supporting-people-with-no-recourse-to-public-funds" TargetMode="External"/><Relationship Id="rId5" Type="http://schemas.openxmlformats.org/officeDocument/2006/relationships/webSettings" Target="webSettings.xml"/><Relationship Id="rId15" Type="http://schemas.openxmlformats.org/officeDocument/2006/relationships/hyperlink" Target="https://www.homeless.org.uk/sites/default/files/site-attachments/Models-of-accommodation-and-support-for-migrants-with-NRPF.pdf" TargetMode="External"/><Relationship Id="rId10" Type="http://schemas.openxmlformats.org/officeDocument/2006/relationships/hyperlink" Target="https://migrantsrights.org.uk/blog/2018/03/13/know-rights-guide-migrants/" TargetMode="External"/><Relationship Id="rId19" Type="http://schemas.openxmlformats.org/officeDocument/2006/relationships/hyperlink" Target="http://twitter.com/PatrickDu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jrf.org.uk/report/how-improve-support-and-services-destitute-migra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iles.datapress.com/london/dataset/chain-reports/2017-06-30T09:03:07.84/Greater%20London%20full%202016-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3F3B7-6757-4F8F-8F57-3D69382E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Duce</dc:creator>
  <cp:keywords/>
  <dc:description/>
  <cp:lastModifiedBy>natalie.king</cp:lastModifiedBy>
  <cp:revision>2</cp:revision>
  <dcterms:created xsi:type="dcterms:W3CDTF">2018-06-28T13:36:00Z</dcterms:created>
  <dcterms:modified xsi:type="dcterms:W3CDTF">2018-06-28T13:36:00Z</dcterms:modified>
</cp:coreProperties>
</file>